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rStyle w:val="14"/>
          <w:rFonts w:ascii="仿宋" w:hAnsi="仿宋" w:cs="仿宋"/>
          <w:b/>
          <w:sz w:val="32"/>
          <w:szCs w:val="32"/>
          <w:highlight w:val="none"/>
        </w:rPr>
      </w:pPr>
      <w:r>
        <w:rPr>
          <w:rStyle w:val="14"/>
          <w:rFonts w:hint="eastAsia" w:ascii="仿宋" w:hAnsi="仿宋" w:cs="仿宋"/>
          <w:b/>
          <w:sz w:val="32"/>
          <w:szCs w:val="32"/>
          <w:highlight w:val="none"/>
        </w:rPr>
        <w:t>附件6</w:t>
      </w:r>
    </w:p>
    <w:p>
      <w:pPr>
        <w:ind w:firstLine="643"/>
        <w:jc w:val="center"/>
        <w:rPr>
          <w:rStyle w:val="14"/>
          <w:rFonts w:ascii="仿宋" w:hAnsi="仿宋" w:cs="仿宋"/>
          <w:b/>
          <w:sz w:val="32"/>
          <w:szCs w:val="32"/>
          <w:highlight w:val="none"/>
        </w:rPr>
      </w:pPr>
      <w:r>
        <w:rPr>
          <w:rStyle w:val="14"/>
          <w:rFonts w:hint="eastAsia" w:ascii="仿宋" w:hAnsi="仿宋" w:cs="仿宋"/>
          <w:b/>
          <w:sz w:val="32"/>
          <w:szCs w:val="32"/>
          <w:highlight w:val="none"/>
        </w:rPr>
        <w:t>2022年度浙江省职业院校技能大赛高职组</w:t>
      </w:r>
    </w:p>
    <w:p>
      <w:pPr>
        <w:ind w:firstLine="643"/>
        <w:jc w:val="center"/>
        <w:rPr>
          <w:rStyle w:val="14"/>
          <w:rFonts w:ascii="仿宋" w:hAnsi="仿宋" w:cs="仿宋"/>
          <w:b/>
          <w:sz w:val="32"/>
          <w:szCs w:val="32"/>
          <w:highlight w:val="none"/>
        </w:rPr>
      </w:pPr>
      <w:bookmarkStart w:id="0" w:name="财会技术"/>
      <w:r>
        <w:rPr>
          <w:rStyle w:val="14"/>
          <w:rFonts w:hint="eastAsia" w:ascii="仿宋" w:hAnsi="仿宋" w:cs="仿宋"/>
          <w:b/>
          <w:sz w:val="32"/>
          <w:szCs w:val="32"/>
          <w:highlight w:val="none"/>
        </w:rPr>
        <w:t>“</w:t>
      </w:r>
      <w:bookmarkEnd w:id="0"/>
      <w:r>
        <w:rPr>
          <w:rStyle w:val="14"/>
          <w:rFonts w:hint="eastAsia" w:ascii="仿宋" w:hAnsi="仿宋" w:cs="仿宋"/>
          <w:b/>
          <w:sz w:val="32"/>
          <w:szCs w:val="32"/>
          <w:highlight w:val="none"/>
        </w:rPr>
        <w:t>云计算”赛项规</w:t>
      </w:r>
      <w:bookmarkStart w:id="1" w:name="_Hlt253936550"/>
      <w:bookmarkStart w:id="2" w:name="_Hlt253342540"/>
      <w:bookmarkStart w:id="3" w:name="_Hlt252882114"/>
      <w:r>
        <w:rPr>
          <w:rStyle w:val="14"/>
          <w:rFonts w:hint="eastAsia" w:ascii="仿宋" w:hAnsi="仿宋" w:cs="仿宋"/>
          <w:b/>
          <w:sz w:val="32"/>
          <w:szCs w:val="32"/>
          <w:highlight w:val="none"/>
        </w:rPr>
        <w:t>程</w:t>
      </w:r>
      <w:bookmarkEnd w:id="1"/>
      <w:bookmarkEnd w:id="2"/>
      <w:bookmarkEnd w:id="3"/>
    </w:p>
    <w:p>
      <w:pPr>
        <w:ind w:firstLine="560"/>
        <w:rPr>
          <w:rFonts w:ascii="仿宋" w:hAnsi="仿宋" w:cs="仿宋"/>
          <w:szCs w:val="28"/>
        </w:rPr>
      </w:pPr>
    </w:p>
    <w:p>
      <w:pPr>
        <w:ind w:firstLine="560"/>
        <w:rPr>
          <w:rFonts w:ascii="仿宋" w:hAnsi="仿宋" w:cs="仿宋"/>
          <w:szCs w:val="28"/>
        </w:rPr>
      </w:pPr>
    </w:p>
    <w:p>
      <w:pPr>
        <w:ind w:firstLine="562"/>
        <w:rPr>
          <w:rFonts w:ascii="仿宋" w:hAnsi="仿宋" w:cs="仿宋"/>
          <w:b/>
          <w:color w:val="000000"/>
          <w:szCs w:val="28"/>
        </w:rPr>
      </w:pPr>
      <w:bookmarkStart w:id="4" w:name="_Toc382406748"/>
      <w:r>
        <w:rPr>
          <w:rFonts w:hint="eastAsia" w:ascii="仿宋" w:hAnsi="仿宋" w:cs="仿宋"/>
          <w:b/>
          <w:color w:val="000000"/>
          <w:szCs w:val="28"/>
        </w:rPr>
        <w:t>一、赛项名称</w:t>
      </w:r>
      <w:bookmarkEnd w:id="4"/>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赛项名称：云计算</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赛项组别：高职组</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竞赛形式：个人赛</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赛项专业大类：电子与信息大类</w:t>
      </w:r>
    </w:p>
    <w:p>
      <w:pPr>
        <w:ind w:firstLine="562"/>
        <w:rPr>
          <w:rFonts w:ascii="仿宋" w:hAnsi="仿宋" w:cs="仿宋"/>
          <w:b/>
          <w:color w:val="000000"/>
          <w:szCs w:val="28"/>
        </w:rPr>
      </w:pPr>
      <w:bookmarkStart w:id="5" w:name="_Toc382406749"/>
      <w:r>
        <w:rPr>
          <w:rFonts w:hint="eastAsia" w:ascii="仿宋" w:hAnsi="仿宋" w:cs="仿宋"/>
          <w:b/>
          <w:color w:val="000000"/>
          <w:szCs w:val="28"/>
        </w:rPr>
        <w:t>二、竞赛目的</w:t>
      </w:r>
      <w:bookmarkEnd w:id="5"/>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通过举办“云计算”竞赛，更好地推进浙江省高职院校“云计算技术与应用”等云计算相关专业建设，引领专业课程改革创新，促进高职院校信息类相关专业建设，培养发掘云计算技术技能型人才；本赛项通过产教融合、校企合作办赛，展示和提升高职院校教师的云计算教学科研能力，提升学生从事云计算相关岗位的适配性，为“互联网+”国家战略和国家“智慧城市”规划建设提供云计算领域的高素质技术技能型人才。赛项将紧密结合我国云计算产业发展战略规划和云计算技术发展方向，贯彻国务院《关于促进云计算创新发展培育信息产业新业态的意见》和《关于促进大数据发展的行动纲要》中人才战略要求，针对高职“云计算技术与应用”专业建设和发展的需求，通过引入云平台、云服务、大数据和云应用开发等实际应用场景，全面考察高等职业院校学生的云计算技术基础，云平台规划设计和搭建，云存储、云网络、云安全、容器云和大数据等云服务部署运维，云技术应用和大数据分析开发等前沿知识、技术技能、职业素养和团队协作能力。</w:t>
      </w:r>
    </w:p>
    <w:p>
      <w:pPr>
        <w:ind w:firstLine="562"/>
        <w:rPr>
          <w:rFonts w:ascii="仿宋" w:hAnsi="仿宋" w:cs="仿宋"/>
          <w:b/>
          <w:color w:val="000000"/>
          <w:szCs w:val="28"/>
        </w:rPr>
      </w:pPr>
      <w:r>
        <w:rPr>
          <w:rFonts w:hint="eastAsia" w:ascii="仿宋" w:hAnsi="仿宋" w:cs="仿宋"/>
          <w:b/>
          <w:color w:val="000000"/>
          <w:szCs w:val="28"/>
        </w:rPr>
        <w:t>三、竞赛内容</w:t>
      </w:r>
    </w:p>
    <w:p>
      <w:pPr>
        <w:ind w:firstLine="560"/>
        <w:rPr>
          <w:rFonts w:eastAsia="仿宋_GB2312"/>
          <w:szCs w:val="28"/>
        </w:rPr>
      </w:pPr>
      <w:r>
        <w:rPr>
          <w:rFonts w:eastAsia="仿宋_GB2312"/>
          <w:szCs w:val="28"/>
        </w:rPr>
        <w:t>（一）竞赛内容</w:t>
      </w:r>
    </w:p>
    <w:p>
      <w:pPr>
        <w:ind w:firstLine="560"/>
        <w:rPr>
          <w:rFonts w:eastAsia="仿宋_GB2312"/>
          <w:szCs w:val="28"/>
        </w:rPr>
      </w:pPr>
      <w:r>
        <w:rPr>
          <w:rFonts w:eastAsia="仿宋_GB2312"/>
          <w:szCs w:val="28"/>
        </w:rPr>
        <w:t>根据业务需求和实际的工程应用环境，要求参赛选手实现私有云平台架构的规划设计、完成私有云平台运维、完成私有云平台运维开发、容器云平台搭建与运维、容器云综合运维、持续集成、容器化部署应用等。竞赛内容包含两部分：</w:t>
      </w:r>
    </w:p>
    <w:p>
      <w:pPr>
        <w:ind w:firstLine="600"/>
        <w:rPr>
          <w:rFonts w:eastAsia="仿宋_GB2312"/>
          <w:color w:val="000000"/>
          <w:kern w:val="0"/>
          <w:sz w:val="30"/>
          <w:szCs w:val="30"/>
        </w:rPr>
      </w:pPr>
      <w:r>
        <w:rPr>
          <w:rFonts w:eastAsia="仿宋_GB2312"/>
          <w:color w:val="000000"/>
          <w:kern w:val="0"/>
          <w:sz w:val="30"/>
          <w:szCs w:val="30"/>
        </w:rPr>
        <w:t>第一部分：私有云平台</w:t>
      </w:r>
    </w:p>
    <w:p>
      <w:pPr>
        <w:ind w:firstLine="560"/>
        <w:rPr>
          <w:rFonts w:eastAsia="仿宋_GB2312"/>
          <w:szCs w:val="28"/>
        </w:rPr>
      </w:pPr>
      <w:r>
        <w:rPr>
          <w:rFonts w:eastAsia="仿宋_GB2312"/>
          <w:szCs w:val="28"/>
        </w:rPr>
        <w:t xml:space="preserve">1.基础环境搭建 </w:t>
      </w:r>
    </w:p>
    <w:p>
      <w:pPr>
        <w:ind w:firstLine="560"/>
        <w:rPr>
          <w:rFonts w:eastAsia="仿宋_GB2312"/>
          <w:szCs w:val="28"/>
        </w:rPr>
      </w:pPr>
      <w:r>
        <w:rPr>
          <w:rFonts w:eastAsia="仿宋_GB2312"/>
          <w:szCs w:val="28"/>
        </w:rPr>
        <w:t>（1）根据要求，进行物理主机操作系统设置与管理，包括网络、存储、虚拟化和安全等，确保操作系统正常；检查交换机、服务器之间的连线，测试网络的连通性。</w:t>
      </w:r>
    </w:p>
    <w:p>
      <w:pPr>
        <w:ind w:firstLine="560"/>
        <w:rPr>
          <w:rFonts w:eastAsia="仿宋_GB2312"/>
          <w:szCs w:val="28"/>
        </w:rPr>
      </w:pPr>
      <w:r>
        <w:rPr>
          <w:rFonts w:eastAsia="仿宋_GB2312"/>
          <w:szCs w:val="28"/>
        </w:rPr>
        <w:t>（2）对服务器进行基础的配置操作，包括配置 yum 源、时间同步、分区等。</w:t>
      </w:r>
    </w:p>
    <w:p>
      <w:pPr>
        <w:ind w:firstLine="600"/>
        <w:rPr>
          <w:rFonts w:eastAsia="仿宋_GB2312"/>
          <w:color w:val="000000"/>
          <w:kern w:val="0"/>
          <w:sz w:val="30"/>
          <w:szCs w:val="30"/>
        </w:rPr>
      </w:pPr>
      <w:r>
        <w:rPr>
          <w:rFonts w:eastAsia="仿宋_GB2312"/>
          <w:color w:val="000000"/>
          <w:kern w:val="0"/>
          <w:sz w:val="30"/>
          <w:szCs w:val="30"/>
        </w:rPr>
        <w:t>2.OpenStack平台搭建</w:t>
      </w:r>
    </w:p>
    <w:p>
      <w:pPr>
        <w:ind w:firstLine="560"/>
        <w:rPr>
          <w:rFonts w:eastAsia="仿宋_GB2312"/>
          <w:szCs w:val="28"/>
        </w:rPr>
      </w:pPr>
      <w:r>
        <w:rPr>
          <w:rFonts w:eastAsia="仿宋_GB2312"/>
          <w:szCs w:val="28"/>
        </w:rPr>
        <w:t xml:space="preserve">（1）准备工作，包括安装和配置yum源、ftp、ntp、http、RabbitMQ、MariaDB数据库、MemCached、etcd等服务。 </w:t>
      </w:r>
    </w:p>
    <w:p>
      <w:pPr>
        <w:ind w:firstLine="560"/>
        <w:rPr>
          <w:rFonts w:eastAsia="仿宋_GB2312"/>
          <w:szCs w:val="28"/>
        </w:rPr>
      </w:pPr>
      <w:r>
        <w:rPr>
          <w:rFonts w:eastAsia="仿宋_GB2312"/>
          <w:szCs w:val="28"/>
        </w:rPr>
        <w:t>（2）编写（或提供的）安装脚本完成私有云平台的搭建，搭建完成后，检查各个组件的运行状态，能正确地使用私有云平台。</w:t>
      </w:r>
    </w:p>
    <w:p>
      <w:pPr>
        <w:ind w:firstLine="600"/>
        <w:rPr>
          <w:rFonts w:eastAsia="仿宋_GB2312"/>
          <w:color w:val="000000"/>
          <w:kern w:val="0"/>
          <w:sz w:val="30"/>
          <w:szCs w:val="30"/>
        </w:rPr>
      </w:pPr>
      <w:r>
        <w:rPr>
          <w:rFonts w:eastAsia="仿宋_GB2312"/>
          <w:color w:val="000000"/>
          <w:kern w:val="0"/>
          <w:sz w:val="30"/>
          <w:szCs w:val="30"/>
        </w:rPr>
        <w:t xml:space="preserve">3.OpenStack平台运维 </w:t>
      </w:r>
    </w:p>
    <w:p>
      <w:pPr>
        <w:ind w:firstLine="560"/>
        <w:rPr>
          <w:rFonts w:eastAsia="仿宋_GB2312"/>
          <w:szCs w:val="28"/>
        </w:rPr>
      </w:pPr>
      <w:r>
        <w:rPr>
          <w:rFonts w:eastAsia="仿宋_GB2312"/>
          <w:szCs w:val="28"/>
        </w:rPr>
        <w:t>（1）能够对云主机、云存储、云网络、云数据库、负载均衡和高可用等的运维管理。</w:t>
      </w:r>
    </w:p>
    <w:p>
      <w:pPr>
        <w:ind w:firstLine="560"/>
        <w:rPr>
          <w:rFonts w:eastAsia="仿宋_GB2312"/>
          <w:szCs w:val="28"/>
        </w:rPr>
      </w:pPr>
      <w:r>
        <w:rPr>
          <w:rFonts w:eastAsia="仿宋_GB2312"/>
          <w:szCs w:val="28"/>
        </w:rPr>
        <w:t>（2）完成私有云组件的运维，包括 Keystone、Glance、Nova、Neutron、Cinder、Swift、Ceph等组件，并编写Shell脚本完成对Openstack的运维。</w:t>
      </w:r>
    </w:p>
    <w:p>
      <w:pPr>
        <w:ind w:firstLine="560"/>
        <w:rPr>
          <w:rFonts w:eastAsia="仿宋_GB2312"/>
          <w:szCs w:val="28"/>
        </w:rPr>
      </w:pPr>
      <w:r>
        <w:rPr>
          <w:rFonts w:eastAsia="仿宋_GB2312"/>
          <w:szCs w:val="28"/>
        </w:rPr>
        <w:t>（3）完成私有云上的应用项目部署，如搭建私有博客系统、搭建应用商城网站等。</w:t>
      </w:r>
    </w:p>
    <w:p>
      <w:pPr>
        <w:ind w:firstLine="560"/>
        <w:rPr>
          <w:rFonts w:eastAsia="仿宋_GB2312"/>
          <w:color w:val="000000"/>
          <w:kern w:val="0"/>
          <w:sz w:val="30"/>
          <w:szCs w:val="30"/>
        </w:rPr>
      </w:pPr>
      <w:r>
        <w:rPr>
          <w:rFonts w:eastAsia="仿宋_GB2312"/>
          <w:szCs w:val="28"/>
        </w:rPr>
        <w:t>（4）掌握私有云上各个服务的依赖关系与对应关系，能排除在使用过程中遇到的问题，确保私有云环境稳定、顺畅运行。</w:t>
      </w:r>
    </w:p>
    <w:p>
      <w:pPr>
        <w:ind w:firstLine="600"/>
        <w:rPr>
          <w:rFonts w:eastAsia="仿宋_GB2312"/>
          <w:color w:val="000000"/>
          <w:kern w:val="0"/>
          <w:sz w:val="30"/>
          <w:szCs w:val="30"/>
        </w:rPr>
      </w:pPr>
      <w:r>
        <w:rPr>
          <w:rFonts w:eastAsia="仿宋_GB2312"/>
          <w:color w:val="000000"/>
          <w:kern w:val="0"/>
          <w:sz w:val="30"/>
          <w:szCs w:val="30"/>
        </w:rPr>
        <w:t>4.OpenStack平台运维开发</w:t>
      </w:r>
    </w:p>
    <w:p>
      <w:pPr>
        <w:ind w:firstLine="560"/>
        <w:rPr>
          <w:rFonts w:eastAsia="仿宋_GB2312"/>
          <w:szCs w:val="28"/>
        </w:rPr>
      </w:pPr>
      <w:r>
        <w:rPr>
          <w:rFonts w:eastAsia="仿宋_GB2312"/>
          <w:szCs w:val="28"/>
        </w:rPr>
        <w:t xml:space="preserve">（1）编写 Python 脚本调用 Openstack API 完成对 Openstack 的运维管理； </w:t>
      </w:r>
    </w:p>
    <w:p>
      <w:pPr>
        <w:ind w:firstLine="560"/>
        <w:rPr>
          <w:rFonts w:eastAsia="仿宋_GB2312"/>
          <w:szCs w:val="28"/>
        </w:rPr>
      </w:pPr>
      <w:r>
        <w:rPr>
          <w:rFonts w:eastAsia="仿宋_GB2312"/>
          <w:szCs w:val="28"/>
        </w:rPr>
        <w:t xml:space="preserve">（2）使用 Ansible 自动化运维工具对目标节点进行批量化部署或运维操作。 </w:t>
      </w:r>
    </w:p>
    <w:p>
      <w:pPr>
        <w:ind w:firstLine="600"/>
        <w:rPr>
          <w:rFonts w:eastAsia="仿宋_GB2312"/>
          <w:color w:val="000000"/>
          <w:kern w:val="0"/>
          <w:sz w:val="30"/>
          <w:szCs w:val="30"/>
        </w:rPr>
      </w:pPr>
      <w:r>
        <w:rPr>
          <w:rFonts w:eastAsia="仿宋_GB2312"/>
          <w:color w:val="000000"/>
          <w:kern w:val="0"/>
          <w:sz w:val="30"/>
          <w:szCs w:val="30"/>
        </w:rPr>
        <w:t xml:space="preserve">第二部分：容器云平台 </w:t>
      </w:r>
    </w:p>
    <w:p>
      <w:pPr>
        <w:ind w:firstLine="560"/>
        <w:rPr>
          <w:rFonts w:eastAsia="仿宋_GB2312"/>
          <w:szCs w:val="28"/>
        </w:rPr>
      </w:pPr>
      <w:r>
        <w:rPr>
          <w:rFonts w:eastAsia="仿宋_GB2312"/>
          <w:szCs w:val="28"/>
        </w:rPr>
        <w:t xml:space="preserve">1.docker 服务及仓库安装 </w:t>
      </w:r>
    </w:p>
    <w:p>
      <w:pPr>
        <w:ind w:firstLine="560"/>
        <w:rPr>
          <w:rFonts w:eastAsia="仿宋_GB2312"/>
          <w:szCs w:val="28"/>
        </w:rPr>
      </w:pPr>
      <w:r>
        <w:rPr>
          <w:rFonts w:eastAsia="仿宋_GB2312"/>
          <w:szCs w:val="28"/>
        </w:rPr>
        <w:t xml:space="preserve">（1）安装 Docker 服务，部署私有容器仓库。 </w:t>
      </w:r>
    </w:p>
    <w:p>
      <w:pPr>
        <w:ind w:firstLine="560"/>
        <w:rPr>
          <w:rFonts w:eastAsia="仿宋_GB2312"/>
          <w:szCs w:val="28"/>
        </w:rPr>
      </w:pPr>
      <w:r>
        <w:rPr>
          <w:rFonts w:eastAsia="仿宋_GB2312"/>
          <w:szCs w:val="28"/>
        </w:rPr>
        <w:t xml:space="preserve">（2）安装 docker-compose 容器编排服务。 </w:t>
      </w:r>
    </w:p>
    <w:p>
      <w:pPr>
        <w:ind w:firstLine="560"/>
        <w:rPr>
          <w:rFonts w:eastAsia="仿宋_GB2312"/>
          <w:szCs w:val="28"/>
        </w:rPr>
      </w:pPr>
      <w:r>
        <w:rPr>
          <w:rFonts w:eastAsia="仿宋_GB2312"/>
          <w:szCs w:val="28"/>
        </w:rPr>
        <w:t xml:space="preserve">（3）使用 compose 进行容器编排。 </w:t>
      </w:r>
    </w:p>
    <w:p>
      <w:pPr>
        <w:ind w:firstLine="600"/>
        <w:rPr>
          <w:rFonts w:eastAsia="仿宋_GB2312"/>
          <w:color w:val="000000"/>
          <w:kern w:val="0"/>
          <w:sz w:val="30"/>
          <w:szCs w:val="30"/>
        </w:rPr>
      </w:pPr>
      <w:r>
        <w:rPr>
          <w:rFonts w:eastAsia="仿宋_GB2312"/>
          <w:color w:val="000000"/>
          <w:kern w:val="0"/>
          <w:sz w:val="30"/>
          <w:szCs w:val="30"/>
        </w:rPr>
        <w:t xml:space="preserve">2.基于容器的 web 应用系统部署任务 </w:t>
      </w:r>
    </w:p>
    <w:p>
      <w:pPr>
        <w:ind w:firstLine="560"/>
        <w:rPr>
          <w:rFonts w:eastAsia="仿宋_GB2312"/>
          <w:szCs w:val="28"/>
        </w:rPr>
      </w:pPr>
      <w:r>
        <w:rPr>
          <w:rFonts w:eastAsia="仿宋_GB2312"/>
          <w:szCs w:val="28"/>
        </w:rPr>
        <w:t xml:space="preserve">（1）基于容器化平台，编写 dockerfile，制作容器镜像 </w:t>
      </w:r>
    </w:p>
    <w:p>
      <w:pPr>
        <w:ind w:firstLine="560"/>
        <w:rPr>
          <w:rFonts w:eastAsia="仿宋_GB2312"/>
          <w:szCs w:val="28"/>
        </w:rPr>
      </w:pPr>
      <w:r>
        <w:rPr>
          <w:rFonts w:eastAsia="仿宋_GB2312"/>
          <w:szCs w:val="28"/>
        </w:rPr>
        <w:t xml:space="preserve">（2）通过 web 应用系统所需的服务，制作相应容器镜像 </w:t>
      </w:r>
    </w:p>
    <w:p>
      <w:pPr>
        <w:ind w:firstLine="560"/>
        <w:rPr>
          <w:rFonts w:eastAsia="仿宋_GB2312"/>
          <w:szCs w:val="28"/>
        </w:rPr>
      </w:pPr>
      <w:r>
        <w:rPr>
          <w:rFonts w:eastAsia="仿宋_GB2312"/>
          <w:szCs w:val="28"/>
        </w:rPr>
        <w:t xml:space="preserve">（3）使用制作的镜像，通过 compose 编排服务，启动 web 应用 </w:t>
      </w:r>
    </w:p>
    <w:p>
      <w:pPr>
        <w:ind w:firstLine="600"/>
        <w:rPr>
          <w:rFonts w:eastAsia="仿宋_GB2312"/>
          <w:color w:val="000000"/>
          <w:kern w:val="0"/>
          <w:sz w:val="30"/>
          <w:szCs w:val="30"/>
        </w:rPr>
      </w:pPr>
      <w:r>
        <w:rPr>
          <w:rFonts w:eastAsia="仿宋_GB2312"/>
          <w:color w:val="000000"/>
          <w:kern w:val="0"/>
          <w:sz w:val="30"/>
          <w:szCs w:val="30"/>
        </w:rPr>
        <w:t>3.基于容器的持续集成部署任务</w:t>
      </w:r>
    </w:p>
    <w:p>
      <w:pPr>
        <w:ind w:firstLine="560"/>
        <w:rPr>
          <w:rFonts w:eastAsia="仿宋_GB2312"/>
          <w:szCs w:val="28"/>
        </w:rPr>
      </w:pPr>
      <w:r>
        <w:rPr>
          <w:rFonts w:eastAsia="仿宋_GB2312"/>
          <w:szCs w:val="28"/>
        </w:rPr>
        <w:t xml:space="preserve">基于容器完成持续化集成的案例。例如使用 gitlab+Jenkins 完成持续集成案 例、使用 GitLab + Gitlab-runner 来构建持续集成环境或使用 GitLab + Drone 来构建持续集成环境等。 </w:t>
      </w:r>
    </w:p>
    <w:p>
      <w:pPr>
        <w:ind w:firstLine="600"/>
        <w:rPr>
          <w:rFonts w:eastAsia="仿宋_GB2312"/>
          <w:color w:val="000000"/>
          <w:kern w:val="0"/>
          <w:sz w:val="30"/>
          <w:szCs w:val="30"/>
        </w:rPr>
      </w:pPr>
      <w:r>
        <w:rPr>
          <w:rFonts w:eastAsia="仿宋_GB2312"/>
          <w:color w:val="000000"/>
          <w:kern w:val="0"/>
          <w:sz w:val="30"/>
          <w:szCs w:val="30"/>
        </w:rPr>
        <w:t xml:space="preserve">4.Kubernetes 容器云平台部署与运维 </w:t>
      </w:r>
    </w:p>
    <w:p>
      <w:pPr>
        <w:ind w:firstLine="560"/>
        <w:rPr>
          <w:rFonts w:eastAsia="仿宋_GB2312"/>
          <w:szCs w:val="28"/>
        </w:rPr>
      </w:pPr>
      <w:r>
        <w:rPr>
          <w:rFonts w:eastAsia="仿宋_GB2312"/>
          <w:szCs w:val="28"/>
        </w:rPr>
        <w:t xml:space="preserve">（1）容器基础的运维操作，包括镜像、容器、仓库、网络等。 </w:t>
      </w:r>
    </w:p>
    <w:p>
      <w:pPr>
        <w:ind w:firstLine="560"/>
        <w:rPr>
          <w:rFonts w:eastAsia="仿宋_GB2312"/>
          <w:szCs w:val="28"/>
        </w:rPr>
      </w:pPr>
      <w:r>
        <w:rPr>
          <w:rFonts w:eastAsia="仿宋_GB2312"/>
          <w:szCs w:val="28"/>
        </w:rPr>
        <w:t xml:space="preserve">（2）基于 Kubernetes 集群环境搭建和运维等。 </w:t>
      </w:r>
    </w:p>
    <w:p>
      <w:pPr>
        <w:ind w:firstLine="560"/>
        <w:rPr>
          <w:rFonts w:ascii="仿宋" w:hAnsi="仿宋" w:cs="仿宋"/>
          <w:color w:val="000000"/>
          <w:kern w:val="0"/>
          <w:szCs w:val="28"/>
          <w:highlight w:val="none"/>
          <w:lang w:bidi="ar"/>
        </w:rPr>
      </w:pPr>
      <w:r>
        <w:rPr>
          <w:rFonts w:eastAsia="仿宋_GB2312"/>
          <w:szCs w:val="28"/>
          <w:highlight w:val="none"/>
        </w:rPr>
        <w:t>（3）基于 Kubernetes 集群的应用系统部署与运维等。</w:t>
      </w:r>
      <w:r>
        <w:rPr>
          <w:rFonts w:eastAsia="仿宋_GB2312"/>
          <w:color w:val="000000"/>
          <w:kern w:val="0"/>
          <w:sz w:val="30"/>
          <w:szCs w:val="30"/>
          <w:highlight w:val="none"/>
        </w:rPr>
        <w:t xml:space="preserve"> </w:t>
      </w:r>
      <w:r>
        <w:rPr>
          <w:rFonts w:hint="eastAsia" w:ascii="仿宋" w:hAnsi="仿宋" w:cs="仿宋"/>
          <w:color w:val="000000"/>
          <w:kern w:val="0"/>
          <w:szCs w:val="28"/>
          <w:highlight w:val="none"/>
          <w:lang w:bidi="ar"/>
        </w:rPr>
        <w:t xml:space="preserve"> </w:t>
      </w:r>
    </w:p>
    <w:p>
      <w:pPr>
        <w:ind w:firstLine="562"/>
        <w:rPr>
          <w:rFonts w:eastAsia="仿宋_GB2312"/>
          <w:b/>
          <w:bCs/>
          <w:szCs w:val="28"/>
          <w:highlight w:val="none"/>
        </w:rPr>
      </w:pPr>
      <w:r>
        <w:rPr>
          <w:rFonts w:eastAsia="仿宋_GB2312"/>
          <w:b/>
          <w:bCs/>
          <w:szCs w:val="28"/>
          <w:highlight w:val="none"/>
        </w:rPr>
        <w:t>本赛项比赛时间为一天，上午9点-1</w:t>
      </w:r>
      <w:r>
        <w:rPr>
          <w:rFonts w:hint="eastAsia" w:eastAsia="仿宋_GB2312"/>
          <w:b/>
          <w:bCs/>
          <w:szCs w:val="28"/>
          <w:highlight w:val="none"/>
        </w:rPr>
        <w:t>2</w:t>
      </w:r>
      <w:r>
        <w:rPr>
          <w:rFonts w:eastAsia="仿宋_GB2312"/>
          <w:b/>
          <w:bCs/>
          <w:szCs w:val="28"/>
          <w:highlight w:val="none"/>
        </w:rPr>
        <w:t>点完成私有云平台模块和容器云平台模块的比赛。竞赛总时长为</w:t>
      </w:r>
      <w:r>
        <w:rPr>
          <w:rFonts w:hint="eastAsia" w:eastAsia="仿宋_GB2312"/>
          <w:b/>
          <w:bCs/>
          <w:szCs w:val="28"/>
          <w:highlight w:val="none"/>
        </w:rPr>
        <w:t>3</w:t>
      </w:r>
      <w:r>
        <w:rPr>
          <w:rFonts w:eastAsia="仿宋_GB2312"/>
          <w:b/>
          <w:bCs/>
          <w:szCs w:val="28"/>
          <w:highlight w:val="none"/>
        </w:rPr>
        <w:t>小时，本赛项总分为100分。</w:t>
      </w:r>
    </w:p>
    <w:p>
      <w:pPr>
        <w:ind w:firstLine="560"/>
        <w:rPr>
          <w:rFonts w:ascii="仿宋" w:hAnsi="仿宋" w:cs="仿宋"/>
          <w:color w:val="000000"/>
          <w:kern w:val="0"/>
          <w:szCs w:val="28"/>
        </w:rPr>
      </w:pPr>
      <w:r>
        <w:rPr>
          <w:rFonts w:hint="eastAsia" w:ascii="仿宋" w:hAnsi="仿宋" w:cs="仿宋"/>
          <w:color w:val="000000"/>
          <w:kern w:val="0"/>
          <w:szCs w:val="28"/>
        </w:rPr>
        <w:t>竞赛日程安排：</w:t>
      </w:r>
    </w:p>
    <w:tbl>
      <w:tblPr>
        <w:tblStyle w:val="10"/>
        <w:tblpPr w:leftFromText="180" w:rightFromText="180" w:vertAnchor="text" w:horzAnchor="page" w:tblpX="1765" w:tblpY="464"/>
        <w:tblOverlap w:val="never"/>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2056"/>
        <w:gridCol w:w="5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23" w:type="dxa"/>
            <w:gridSpan w:val="2"/>
            <w:vAlign w:val="center"/>
          </w:tcPr>
          <w:p>
            <w:pPr>
              <w:ind w:firstLine="482"/>
              <w:jc w:val="center"/>
              <w:rPr>
                <w:rFonts w:eastAsia="仿宋_GB2312"/>
                <w:b/>
                <w:bCs/>
                <w:color w:val="000000"/>
                <w:sz w:val="24"/>
                <w:szCs w:val="24"/>
              </w:rPr>
            </w:pPr>
            <w:bookmarkStart w:id="6" w:name="OLE_LINK1"/>
            <w:r>
              <w:rPr>
                <w:rFonts w:eastAsia="仿宋_GB2312"/>
                <w:b/>
                <w:bCs/>
                <w:color w:val="000000"/>
                <w:sz w:val="24"/>
                <w:szCs w:val="24"/>
              </w:rPr>
              <w:t>日期</w:t>
            </w:r>
          </w:p>
        </w:tc>
        <w:tc>
          <w:tcPr>
            <w:tcW w:w="5304" w:type="dxa"/>
            <w:vAlign w:val="center"/>
          </w:tcPr>
          <w:p>
            <w:pPr>
              <w:ind w:firstLine="482"/>
              <w:jc w:val="center"/>
              <w:rPr>
                <w:rFonts w:eastAsia="仿宋_GB2312"/>
                <w:b/>
                <w:bCs/>
                <w:color w:val="000000"/>
                <w:sz w:val="24"/>
                <w:szCs w:val="24"/>
              </w:rPr>
            </w:pPr>
            <w:r>
              <w:rPr>
                <w:rFonts w:eastAsia="仿宋_GB2312"/>
                <w:b/>
                <w:bCs/>
                <w:color w:val="000000"/>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67" w:type="dxa"/>
            <w:vAlign w:val="center"/>
          </w:tcPr>
          <w:p>
            <w:pPr>
              <w:ind w:firstLine="482"/>
              <w:rPr>
                <w:rFonts w:eastAsia="仿宋_GB2312"/>
                <w:b/>
                <w:bCs/>
                <w:color w:val="000000"/>
                <w:sz w:val="24"/>
                <w:szCs w:val="24"/>
              </w:rPr>
            </w:pPr>
            <w:r>
              <w:rPr>
                <w:rFonts w:hint="eastAsia" w:eastAsia="仿宋_GB2312"/>
                <w:b/>
                <w:bCs/>
                <w:color w:val="000000"/>
                <w:sz w:val="24"/>
                <w:szCs w:val="24"/>
              </w:rPr>
              <w:t>7.04</w:t>
            </w:r>
          </w:p>
        </w:tc>
        <w:tc>
          <w:tcPr>
            <w:tcW w:w="2056" w:type="dxa"/>
            <w:vAlign w:val="center"/>
          </w:tcPr>
          <w:p>
            <w:pPr>
              <w:ind w:firstLine="0" w:firstLineChars="0"/>
              <w:jc w:val="center"/>
              <w:rPr>
                <w:rFonts w:eastAsia="仿宋_GB2312"/>
                <w:b/>
                <w:bCs/>
                <w:color w:val="000000"/>
                <w:sz w:val="24"/>
                <w:szCs w:val="24"/>
              </w:rPr>
            </w:pPr>
            <w:r>
              <w:rPr>
                <w:rFonts w:eastAsia="仿宋_GB2312"/>
                <w:b/>
                <w:bCs/>
                <w:color w:val="000000"/>
                <w:sz w:val="24"/>
                <w:szCs w:val="24"/>
              </w:rPr>
              <w:t>20:00前</w:t>
            </w:r>
          </w:p>
        </w:tc>
        <w:tc>
          <w:tcPr>
            <w:tcW w:w="5304" w:type="dxa"/>
            <w:vAlign w:val="center"/>
          </w:tcPr>
          <w:p>
            <w:pPr>
              <w:ind w:firstLine="482"/>
              <w:jc w:val="center"/>
              <w:rPr>
                <w:rFonts w:eastAsia="仿宋_GB2312"/>
                <w:b/>
                <w:bCs/>
                <w:color w:val="000000"/>
                <w:sz w:val="24"/>
                <w:szCs w:val="24"/>
              </w:rPr>
            </w:pPr>
            <w:r>
              <w:rPr>
                <w:rFonts w:eastAsia="仿宋_GB2312"/>
                <w:b/>
                <w:bCs/>
                <w:color w:val="000000"/>
                <w:sz w:val="24"/>
                <w:szCs w:val="24"/>
              </w:rPr>
              <w:t>竞赛环境准备完毕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767" w:type="dxa"/>
            <w:vMerge w:val="restart"/>
            <w:vAlign w:val="center"/>
          </w:tcPr>
          <w:p>
            <w:pPr>
              <w:pStyle w:val="4"/>
              <w:ind w:firstLine="482"/>
              <w:jc w:val="both"/>
              <w:rPr>
                <w:rFonts w:eastAsia="仿宋_GB2312"/>
                <w:b/>
                <w:bCs/>
                <w:color w:val="000000"/>
                <w:sz w:val="24"/>
                <w:szCs w:val="24"/>
              </w:rPr>
            </w:pPr>
            <w:r>
              <w:rPr>
                <w:rFonts w:hint="eastAsia" w:eastAsia="仿宋_GB2312"/>
                <w:b/>
                <w:bCs/>
                <w:color w:val="000000"/>
                <w:sz w:val="24"/>
                <w:szCs w:val="24"/>
              </w:rPr>
              <w:t>7.05</w:t>
            </w:r>
          </w:p>
        </w:tc>
        <w:tc>
          <w:tcPr>
            <w:tcW w:w="2056" w:type="dxa"/>
            <w:vAlign w:val="center"/>
          </w:tcPr>
          <w:p>
            <w:pPr>
              <w:shd w:val="solid" w:color="FFFFFF" w:fill="auto"/>
              <w:autoSpaceDN w:val="0"/>
              <w:ind w:firstLine="0" w:firstLineChars="0"/>
              <w:jc w:val="center"/>
              <w:rPr>
                <w:rFonts w:eastAsia="仿宋_GB2312"/>
                <w:b/>
                <w:bCs/>
                <w:color w:val="000000"/>
                <w:sz w:val="24"/>
                <w:szCs w:val="24"/>
              </w:rPr>
            </w:pPr>
            <w:r>
              <w:rPr>
                <w:rFonts w:eastAsia="仿宋_GB2312"/>
                <w:b/>
                <w:bCs/>
                <w:color w:val="000000"/>
                <w:sz w:val="24"/>
                <w:szCs w:val="24"/>
              </w:rPr>
              <w:t>09:00-1</w:t>
            </w:r>
            <w:r>
              <w:rPr>
                <w:rFonts w:hint="eastAsia" w:eastAsia="仿宋_GB2312"/>
                <w:b/>
                <w:bCs/>
                <w:color w:val="000000"/>
                <w:sz w:val="24"/>
                <w:szCs w:val="24"/>
              </w:rPr>
              <w:t>4</w:t>
            </w:r>
            <w:r>
              <w:rPr>
                <w:rFonts w:eastAsia="仿宋_GB2312"/>
                <w:b/>
                <w:bCs/>
                <w:color w:val="000000"/>
                <w:sz w:val="24"/>
                <w:szCs w:val="24"/>
              </w:rPr>
              <w:t>:00</w:t>
            </w:r>
          </w:p>
        </w:tc>
        <w:tc>
          <w:tcPr>
            <w:tcW w:w="5304" w:type="dxa"/>
            <w:vAlign w:val="center"/>
          </w:tcPr>
          <w:p>
            <w:pPr>
              <w:shd w:val="solid" w:color="FFFFFF" w:fill="auto"/>
              <w:autoSpaceDN w:val="0"/>
              <w:ind w:firstLine="482"/>
              <w:jc w:val="center"/>
              <w:rPr>
                <w:rFonts w:eastAsia="仿宋_GB2312"/>
                <w:b/>
                <w:bCs/>
                <w:color w:val="000000"/>
                <w:sz w:val="24"/>
                <w:szCs w:val="24"/>
              </w:rPr>
            </w:pPr>
            <w:r>
              <w:rPr>
                <w:rFonts w:hint="eastAsia" w:eastAsia="仿宋_GB2312"/>
                <w:b/>
                <w:bCs/>
                <w:color w:val="000000"/>
                <w:sz w:val="24"/>
                <w:szCs w:val="24"/>
              </w:rPr>
              <w:t>参赛队伍报到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rPr>
            </w:pPr>
            <w:r>
              <w:rPr>
                <w:rFonts w:eastAsia="仿宋_GB2312"/>
                <w:b/>
                <w:bCs/>
                <w:color w:val="000000"/>
                <w:sz w:val="24"/>
                <w:szCs w:val="24"/>
              </w:rPr>
              <w:t>15:00-16:00</w:t>
            </w:r>
          </w:p>
        </w:tc>
        <w:tc>
          <w:tcPr>
            <w:tcW w:w="5304" w:type="dxa"/>
            <w:vAlign w:val="center"/>
          </w:tcPr>
          <w:p>
            <w:pPr>
              <w:shd w:val="solid" w:color="FFFFFF" w:fill="auto"/>
              <w:autoSpaceDN w:val="0"/>
              <w:ind w:firstLine="482"/>
              <w:jc w:val="center"/>
              <w:rPr>
                <w:rFonts w:eastAsia="仿宋_GB2312"/>
                <w:b/>
                <w:bCs/>
                <w:color w:val="000000"/>
                <w:sz w:val="24"/>
                <w:szCs w:val="24"/>
              </w:rPr>
            </w:pPr>
            <w:r>
              <w:rPr>
                <w:rFonts w:eastAsia="仿宋_GB2312"/>
                <w:b/>
                <w:bCs/>
                <w:color w:val="000000"/>
                <w:sz w:val="24"/>
                <w:szCs w:val="24"/>
              </w:rPr>
              <w:t>领队会</w:t>
            </w:r>
            <w:r>
              <w:rPr>
                <w:rFonts w:hint="eastAsia" w:eastAsia="仿宋_GB2312"/>
                <w:b/>
                <w:bCs/>
                <w:color w:val="000000"/>
                <w:sz w:val="24"/>
                <w:szCs w:val="24"/>
              </w:rPr>
              <w:t>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rPr>
            </w:pPr>
            <w:r>
              <w:rPr>
                <w:rFonts w:hint="eastAsia" w:eastAsia="仿宋_GB2312"/>
                <w:b/>
                <w:bCs/>
                <w:color w:val="000000"/>
                <w:sz w:val="24"/>
                <w:szCs w:val="24"/>
              </w:rPr>
              <w:t>16:00-17:00</w:t>
            </w:r>
          </w:p>
        </w:tc>
        <w:tc>
          <w:tcPr>
            <w:tcW w:w="5304" w:type="dxa"/>
            <w:vAlign w:val="center"/>
          </w:tcPr>
          <w:p>
            <w:pPr>
              <w:shd w:val="solid" w:color="FFFFFF" w:fill="auto"/>
              <w:autoSpaceDN w:val="0"/>
              <w:ind w:firstLine="482"/>
              <w:jc w:val="center"/>
              <w:rPr>
                <w:rFonts w:eastAsia="仿宋_GB2312"/>
                <w:b/>
                <w:bCs/>
                <w:color w:val="000000"/>
                <w:sz w:val="24"/>
                <w:szCs w:val="24"/>
              </w:rPr>
            </w:pPr>
            <w:r>
              <w:rPr>
                <w:rFonts w:hint="eastAsia" w:eastAsia="仿宋_GB2312"/>
                <w:b/>
                <w:bCs/>
                <w:color w:val="000000"/>
                <w:sz w:val="24"/>
                <w:szCs w:val="24"/>
              </w:rPr>
              <w:t>熟悉比赛场地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767" w:type="dxa"/>
            <w:vMerge w:val="restart"/>
            <w:vAlign w:val="center"/>
          </w:tcPr>
          <w:p>
            <w:pPr>
              <w:pStyle w:val="4"/>
              <w:ind w:firstLine="482"/>
              <w:jc w:val="both"/>
              <w:rPr>
                <w:rFonts w:eastAsia="仿宋_GB2312"/>
                <w:b/>
                <w:bCs/>
                <w:color w:val="000000"/>
                <w:sz w:val="24"/>
                <w:szCs w:val="24"/>
              </w:rPr>
            </w:pPr>
            <w:r>
              <w:rPr>
                <w:rFonts w:hint="eastAsia" w:eastAsia="仿宋_GB2312"/>
                <w:b/>
                <w:bCs/>
                <w:color w:val="000000"/>
                <w:sz w:val="24"/>
                <w:szCs w:val="24"/>
              </w:rPr>
              <w:t>7.06</w:t>
            </w: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eastAsia="仿宋_GB2312"/>
                <w:b/>
                <w:bCs/>
                <w:color w:val="000000"/>
                <w:sz w:val="24"/>
                <w:szCs w:val="24"/>
                <w:highlight w:val="none"/>
              </w:rPr>
              <w:t>0</w:t>
            </w:r>
            <w:r>
              <w:rPr>
                <w:rFonts w:hint="eastAsia" w:eastAsia="仿宋_GB2312"/>
                <w:b/>
                <w:bCs/>
                <w:color w:val="000000"/>
                <w:sz w:val="24"/>
                <w:szCs w:val="24"/>
                <w:highlight w:val="none"/>
              </w:rPr>
              <w:t>7</w:t>
            </w:r>
            <w:r>
              <w:rPr>
                <w:rFonts w:eastAsia="仿宋_GB2312"/>
                <w:b/>
                <w:bCs/>
                <w:color w:val="000000"/>
                <w:sz w:val="24"/>
                <w:szCs w:val="24"/>
                <w:highlight w:val="none"/>
              </w:rPr>
              <w:t>:</w:t>
            </w:r>
            <w:r>
              <w:rPr>
                <w:rFonts w:hint="eastAsia" w:eastAsia="仿宋_GB2312"/>
                <w:b/>
                <w:bCs/>
                <w:color w:val="000000"/>
                <w:sz w:val="24"/>
                <w:szCs w:val="24"/>
                <w:highlight w:val="none"/>
              </w:rPr>
              <w:t>2</w:t>
            </w:r>
            <w:r>
              <w:rPr>
                <w:rFonts w:eastAsia="仿宋_GB2312"/>
                <w:b/>
                <w:bCs/>
                <w:color w:val="000000"/>
                <w:sz w:val="24"/>
                <w:szCs w:val="24"/>
                <w:highlight w:val="none"/>
              </w:rPr>
              <w:t>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eastAsia="仿宋_GB2312"/>
                <w:b/>
                <w:bCs/>
                <w:color w:val="000000"/>
                <w:sz w:val="24"/>
                <w:szCs w:val="24"/>
                <w:highlight w:val="none"/>
              </w:rPr>
              <w:t>参赛队到达竞赛场地</w:t>
            </w:r>
            <w:r>
              <w:rPr>
                <w:rFonts w:hint="eastAsia" w:eastAsia="仿宋_GB2312"/>
                <w:b/>
                <w:bCs/>
                <w:color w:val="000000"/>
                <w:sz w:val="24"/>
                <w:szCs w:val="24"/>
                <w:highlight w:val="none"/>
              </w:rPr>
              <w:t>前集合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eastAsia="仿宋_GB2312"/>
                <w:b/>
                <w:bCs/>
                <w:color w:val="000000"/>
                <w:sz w:val="24"/>
                <w:szCs w:val="24"/>
                <w:highlight w:val="none"/>
              </w:rPr>
              <w:t>0</w:t>
            </w:r>
            <w:r>
              <w:rPr>
                <w:rFonts w:hint="eastAsia" w:eastAsia="仿宋_GB2312"/>
                <w:b/>
                <w:bCs/>
                <w:color w:val="000000"/>
                <w:sz w:val="24"/>
                <w:szCs w:val="24"/>
                <w:highlight w:val="none"/>
              </w:rPr>
              <w:t>7</w:t>
            </w:r>
            <w:r>
              <w:rPr>
                <w:rFonts w:eastAsia="仿宋_GB2312"/>
                <w:b/>
                <w:bCs/>
                <w:color w:val="000000"/>
                <w:sz w:val="24"/>
                <w:szCs w:val="24"/>
                <w:highlight w:val="none"/>
              </w:rPr>
              <w:t>:</w:t>
            </w:r>
            <w:r>
              <w:rPr>
                <w:rFonts w:hint="eastAsia" w:eastAsia="仿宋_GB2312"/>
                <w:b/>
                <w:bCs/>
                <w:color w:val="000000"/>
                <w:sz w:val="24"/>
                <w:szCs w:val="24"/>
                <w:highlight w:val="none"/>
              </w:rPr>
              <w:t>4</w:t>
            </w:r>
            <w:r>
              <w:rPr>
                <w:rFonts w:eastAsia="仿宋_GB2312"/>
                <w:b/>
                <w:bCs/>
                <w:color w:val="000000"/>
                <w:sz w:val="24"/>
                <w:szCs w:val="24"/>
                <w:highlight w:val="none"/>
              </w:rPr>
              <w:t>0-08:</w:t>
            </w:r>
            <w:r>
              <w:rPr>
                <w:rFonts w:hint="eastAsia" w:eastAsia="仿宋_GB2312"/>
                <w:b/>
                <w:bCs/>
                <w:color w:val="000000"/>
                <w:sz w:val="24"/>
                <w:szCs w:val="24"/>
                <w:highlight w:val="none"/>
              </w:rPr>
              <w:t>0</w:t>
            </w:r>
            <w:r>
              <w:rPr>
                <w:rFonts w:eastAsia="仿宋_GB2312"/>
                <w:b/>
                <w:bCs/>
                <w:color w:val="000000"/>
                <w:sz w:val="24"/>
                <w:szCs w:val="24"/>
                <w:highlight w:val="none"/>
              </w:rPr>
              <w:t>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eastAsia="仿宋_GB2312"/>
                <w:b/>
                <w:bCs/>
                <w:color w:val="000000"/>
                <w:sz w:val="24"/>
                <w:szCs w:val="24"/>
                <w:highlight w:val="none"/>
              </w:rPr>
              <w:t>检录，核查身份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hint="eastAsia" w:eastAsia="仿宋_GB2312"/>
                <w:b/>
                <w:bCs/>
                <w:color w:val="000000"/>
                <w:sz w:val="24"/>
                <w:szCs w:val="24"/>
                <w:highlight w:val="none"/>
              </w:rPr>
              <w:t>08:00-08:20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hint="eastAsia" w:eastAsia="仿宋_GB2312"/>
                <w:b/>
                <w:bCs/>
                <w:color w:val="000000"/>
                <w:sz w:val="24"/>
                <w:szCs w:val="24"/>
                <w:highlight w:val="none"/>
              </w:rPr>
              <w:t>一次加密（参赛编号）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eastAsia="仿宋_GB2312"/>
                <w:b/>
                <w:bCs/>
                <w:color w:val="000000"/>
                <w:sz w:val="24"/>
                <w:szCs w:val="24"/>
                <w:highlight w:val="none"/>
              </w:rPr>
              <w:t>08:</w:t>
            </w:r>
            <w:r>
              <w:rPr>
                <w:rFonts w:hint="eastAsia" w:eastAsia="仿宋_GB2312"/>
                <w:b/>
                <w:bCs/>
                <w:color w:val="000000"/>
                <w:sz w:val="24"/>
                <w:szCs w:val="24"/>
                <w:highlight w:val="none"/>
              </w:rPr>
              <w:t>2</w:t>
            </w:r>
            <w:r>
              <w:rPr>
                <w:rFonts w:eastAsia="仿宋_GB2312"/>
                <w:b/>
                <w:bCs/>
                <w:color w:val="000000"/>
                <w:sz w:val="24"/>
                <w:szCs w:val="24"/>
                <w:highlight w:val="none"/>
              </w:rPr>
              <w:t>0-08:40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eastAsia="仿宋_GB2312"/>
                <w:b/>
                <w:bCs/>
                <w:color w:val="000000"/>
                <w:sz w:val="24"/>
                <w:szCs w:val="24"/>
                <w:highlight w:val="none"/>
              </w:rPr>
              <w:t>二次加密</w:t>
            </w:r>
            <w:r>
              <w:rPr>
                <w:rFonts w:hint="eastAsia" w:eastAsia="仿宋_GB2312"/>
                <w:b/>
                <w:bCs/>
                <w:color w:val="000000"/>
                <w:sz w:val="24"/>
                <w:szCs w:val="24"/>
                <w:highlight w:val="none"/>
              </w:rPr>
              <w:t>（抽赛位号）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rPr>
            </w:pPr>
            <w:r>
              <w:rPr>
                <w:rFonts w:eastAsia="仿宋_GB2312"/>
                <w:b/>
                <w:bCs/>
                <w:color w:val="000000"/>
                <w:sz w:val="24"/>
                <w:szCs w:val="24"/>
              </w:rPr>
              <w:t>08:40-09:00</w:t>
            </w:r>
          </w:p>
        </w:tc>
        <w:tc>
          <w:tcPr>
            <w:tcW w:w="5304" w:type="dxa"/>
            <w:vAlign w:val="center"/>
          </w:tcPr>
          <w:p>
            <w:pPr>
              <w:shd w:val="solid" w:color="FFFFFF" w:fill="auto"/>
              <w:autoSpaceDN w:val="0"/>
              <w:ind w:firstLine="482"/>
              <w:jc w:val="center"/>
              <w:rPr>
                <w:rFonts w:eastAsia="仿宋_GB2312"/>
                <w:b/>
                <w:bCs/>
                <w:color w:val="000000"/>
                <w:sz w:val="24"/>
                <w:szCs w:val="24"/>
              </w:rPr>
            </w:pPr>
            <w:r>
              <w:rPr>
                <w:rFonts w:eastAsia="仿宋_GB2312"/>
                <w:b/>
                <w:bCs/>
                <w:color w:val="000000"/>
                <w:sz w:val="24"/>
                <w:szCs w:val="24"/>
              </w:rPr>
              <w:t>设备工具检查确认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eastAsia="仿宋_GB2312"/>
                <w:b/>
                <w:bCs/>
                <w:color w:val="000000"/>
                <w:sz w:val="24"/>
                <w:szCs w:val="24"/>
                <w:highlight w:val="none"/>
              </w:rPr>
              <w:t>09:00-1</w:t>
            </w:r>
            <w:r>
              <w:rPr>
                <w:rFonts w:hint="eastAsia" w:eastAsia="仿宋_GB2312"/>
                <w:b/>
                <w:bCs/>
                <w:color w:val="000000"/>
                <w:sz w:val="24"/>
                <w:szCs w:val="24"/>
                <w:highlight w:val="none"/>
              </w:rPr>
              <w:t>2</w:t>
            </w:r>
            <w:r>
              <w:rPr>
                <w:rFonts w:eastAsia="仿宋_GB2312"/>
                <w:b/>
                <w:bCs/>
                <w:color w:val="000000"/>
                <w:sz w:val="24"/>
                <w:szCs w:val="24"/>
                <w:highlight w:val="none"/>
              </w:rPr>
              <w:t>:00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eastAsia="仿宋_GB2312"/>
                <w:b/>
                <w:bCs/>
                <w:color w:val="000000"/>
                <w:sz w:val="24"/>
                <w:szCs w:val="24"/>
                <w:highlight w:val="none"/>
              </w:rPr>
              <w:t>参赛队竞赛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eastAsia="仿宋_GB2312"/>
                <w:b/>
                <w:bCs/>
                <w:color w:val="000000"/>
                <w:sz w:val="24"/>
                <w:szCs w:val="24"/>
                <w:highlight w:val="none"/>
              </w:rPr>
              <w:t>1</w:t>
            </w:r>
            <w:r>
              <w:rPr>
                <w:rFonts w:hint="eastAsia" w:eastAsia="仿宋_GB2312"/>
                <w:b/>
                <w:bCs/>
                <w:color w:val="000000"/>
                <w:sz w:val="24"/>
                <w:szCs w:val="24"/>
                <w:highlight w:val="none"/>
              </w:rPr>
              <w:t>2</w:t>
            </w:r>
            <w:r>
              <w:rPr>
                <w:rFonts w:eastAsia="仿宋_GB2312"/>
                <w:b/>
                <w:bCs/>
                <w:color w:val="000000"/>
                <w:sz w:val="24"/>
                <w:szCs w:val="24"/>
                <w:highlight w:val="none"/>
              </w:rPr>
              <w:t>:00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eastAsia="仿宋_GB2312"/>
                <w:b/>
                <w:bCs/>
                <w:color w:val="000000"/>
                <w:sz w:val="24"/>
                <w:szCs w:val="24"/>
                <w:highlight w:val="none"/>
              </w:rPr>
              <w:t>选手签署成绩确认单并由监考老师上传裁判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eastAsia="仿宋_GB2312"/>
                <w:b/>
                <w:bCs/>
                <w:color w:val="000000"/>
                <w:sz w:val="24"/>
                <w:szCs w:val="24"/>
                <w:highlight w:val="none"/>
              </w:rPr>
              <w:t>1</w:t>
            </w:r>
            <w:r>
              <w:rPr>
                <w:rFonts w:hint="eastAsia" w:eastAsia="仿宋_GB2312"/>
                <w:b/>
                <w:bCs/>
                <w:color w:val="000000"/>
                <w:sz w:val="24"/>
                <w:szCs w:val="24"/>
                <w:highlight w:val="none"/>
              </w:rPr>
              <w:t>2</w:t>
            </w:r>
            <w:r>
              <w:rPr>
                <w:rFonts w:eastAsia="仿宋_GB2312"/>
                <w:b/>
                <w:bCs/>
                <w:color w:val="000000"/>
                <w:sz w:val="24"/>
                <w:szCs w:val="24"/>
                <w:highlight w:val="none"/>
              </w:rPr>
              <w:t>:00-14:00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eastAsia="仿宋_GB2312"/>
                <w:b/>
                <w:bCs/>
                <w:color w:val="000000"/>
                <w:sz w:val="24"/>
                <w:szCs w:val="24"/>
                <w:highlight w:val="none"/>
              </w:rPr>
              <w:t>申诉期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67" w:type="dxa"/>
            <w:vMerge w:val="continue"/>
            <w:vAlign w:val="center"/>
          </w:tcPr>
          <w:p>
            <w:pPr>
              <w:pStyle w:val="4"/>
              <w:ind w:firstLine="482"/>
              <w:jc w:val="center"/>
              <w:rPr>
                <w:rFonts w:eastAsia="仿宋_GB2312"/>
                <w:b/>
                <w:bCs/>
                <w:color w:val="000000"/>
                <w:sz w:val="24"/>
                <w:szCs w:val="24"/>
              </w:rPr>
            </w:pPr>
          </w:p>
        </w:tc>
        <w:tc>
          <w:tcPr>
            <w:tcW w:w="2056" w:type="dxa"/>
            <w:vAlign w:val="center"/>
          </w:tcPr>
          <w:p>
            <w:pPr>
              <w:shd w:val="solid" w:color="FFFFFF" w:fill="auto"/>
              <w:autoSpaceDN w:val="0"/>
              <w:ind w:firstLine="0" w:firstLineChars="0"/>
              <w:jc w:val="center"/>
              <w:rPr>
                <w:rFonts w:eastAsia="仿宋_GB2312"/>
                <w:b/>
                <w:bCs/>
                <w:color w:val="000000"/>
                <w:sz w:val="24"/>
                <w:szCs w:val="24"/>
                <w:highlight w:val="none"/>
              </w:rPr>
            </w:pPr>
            <w:r>
              <w:rPr>
                <w:rFonts w:eastAsia="仿宋_GB2312"/>
                <w:b/>
                <w:bCs/>
                <w:color w:val="000000"/>
                <w:sz w:val="24"/>
                <w:szCs w:val="24"/>
                <w:highlight w:val="none"/>
              </w:rPr>
              <w:t>14:00-16:00</w:t>
            </w:r>
          </w:p>
        </w:tc>
        <w:tc>
          <w:tcPr>
            <w:tcW w:w="5304" w:type="dxa"/>
            <w:vAlign w:val="center"/>
          </w:tcPr>
          <w:p>
            <w:pPr>
              <w:shd w:val="solid" w:color="FFFFFF" w:fill="auto"/>
              <w:autoSpaceDN w:val="0"/>
              <w:ind w:firstLine="482"/>
              <w:jc w:val="center"/>
              <w:rPr>
                <w:rFonts w:eastAsia="仿宋_GB2312"/>
                <w:b/>
                <w:bCs/>
                <w:color w:val="000000"/>
                <w:sz w:val="24"/>
                <w:szCs w:val="24"/>
                <w:highlight w:val="none"/>
              </w:rPr>
            </w:pPr>
            <w:r>
              <w:rPr>
                <w:rFonts w:eastAsia="仿宋_GB2312"/>
                <w:b/>
                <w:bCs/>
                <w:color w:val="000000"/>
                <w:sz w:val="24"/>
                <w:szCs w:val="24"/>
                <w:highlight w:val="none"/>
              </w:rPr>
              <w:t>判分、核分、抽检、复验</w:t>
            </w:r>
          </w:p>
        </w:tc>
      </w:tr>
      <w:bookmarkEnd w:id="6"/>
    </w:tbl>
    <w:p>
      <w:pPr>
        <w:ind w:firstLine="562"/>
        <w:rPr>
          <w:rFonts w:ascii="仿宋" w:hAnsi="仿宋" w:cs="仿宋"/>
          <w:b/>
          <w:color w:val="000000"/>
          <w:szCs w:val="28"/>
        </w:rPr>
      </w:pPr>
      <w:r>
        <w:rPr>
          <w:rFonts w:hint="eastAsia" w:ascii="仿宋" w:hAnsi="仿宋" w:cs="仿宋"/>
          <w:b/>
          <w:color w:val="000000"/>
          <w:szCs w:val="28"/>
        </w:rPr>
        <w:t>四、竞赛方式</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1.竞赛以个人赛方式进行。</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2.竞赛队伍组成：每个代表队限报2名参赛选手（以报名文件各代表队的名额分配情况为准），个人赛项目每名参赛选手可配1名指导教师。</w:t>
      </w:r>
    </w:p>
    <w:p>
      <w:pPr>
        <w:ind w:firstLine="562"/>
        <w:rPr>
          <w:rFonts w:ascii="仿宋" w:hAnsi="仿宋" w:cs="仿宋"/>
          <w:b/>
          <w:color w:val="000000"/>
          <w:szCs w:val="28"/>
        </w:rPr>
      </w:pPr>
      <w:r>
        <w:rPr>
          <w:rFonts w:hint="eastAsia" w:ascii="仿宋" w:hAnsi="仿宋" w:cs="仿宋"/>
          <w:b/>
          <w:color w:val="000000"/>
          <w:szCs w:val="28"/>
        </w:rPr>
        <w:t>五、竞赛试题</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本赛项建立竞赛赛卷库，竞赛赛卷库可组成5套以上正式竞赛赛卷，且每套竞赛赛卷内容重复率不高于50%。在比赛的前三天内，将竞赛赛卷库中的竞赛赛卷随机排序后，在监督员的监督下，由裁判长指定相关人员抽取正式竞赛赛卷与备用竞赛赛卷。</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根据遵从公开、公平、公正原则，竞赛赛题距省赛开始日前一个月公开。竞赛样卷随竞赛规程同时公布，见附件</w:t>
      </w:r>
      <w:r>
        <w:rPr>
          <w:rFonts w:hint="eastAsia" w:ascii="仿宋" w:hAnsi="仿宋" w:cs="仿宋"/>
          <w:color w:val="000000"/>
          <w:kern w:val="0"/>
          <w:szCs w:val="28"/>
          <w:highlight w:val="none"/>
          <w:lang w:bidi="ar"/>
        </w:rPr>
        <w:t>： 2022年浙江省职</w:t>
      </w:r>
      <w:r>
        <w:rPr>
          <w:rFonts w:hint="eastAsia" w:ascii="仿宋" w:hAnsi="仿宋" w:cs="仿宋"/>
          <w:color w:val="000000"/>
          <w:kern w:val="0"/>
          <w:szCs w:val="28"/>
          <w:lang w:bidi="ar"/>
        </w:rPr>
        <w:t xml:space="preserve">业院校技能大赛高职组云计算竞赛赛卷（样卷）。 </w:t>
      </w:r>
    </w:p>
    <w:p>
      <w:pPr>
        <w:ind w:firstLine="562"/>
        <w:rPr>
          <w:rFonts w:ascii="仿宋" w:hAnsi="仿宋" w:cs="仿宋"/>
          <w:b/>
          <w:color w:val="000000"/>
          <w:szCs w:val="28"/>
        </w:rPr>
      </w:pPr>
      <w:r>
        <w:rPr>
          <w:rFonts w:hint="eastAsia" w:ascii="仿宋" w:hAnsi="仿宋" w:cs="仿宋"/>
          <w:b/>
          <w:color w:val="000000"/>
          <w:szCs w:val="28"/>
        </w:rPr>
        <w:t>六、竞赛规则</w:t>
      </w:r>
    </w:p>
    <w:p>
      <w:pPr>
        <w:widowControl/>
        <w:ind w:firstLine="562"/>
        <w:jc w:val="left"/>
        <w:rPr>
          <w:rFonts w:ascii="仿宋" w:hAnsi="仿宋" w:cs="仿宋"/>
          <w:b/>
          <w:bCs/>
          <w:color w:val="000000"/>
          <w:kern w:val="0"/>
          <w:szCs w:val="28"/>
          <w:lang w:bidi="ar"/>
        </w:rPr>
      </w:pPr>
      <w:r>
        <w:rPr>
          <w:rFonts w:hint="eastAsia" w:ascii="仿宋" w:hAnsi="仿宋" w:cs="仿宋"/>
          <w:b/>
          <w:bCs/>
          <w:color w:val="000000"/>
          <w:kern w:val="0"/>
          <w:szCs w:val="28"/>
          <w:lang w:bidi="ar"/>
        </w:rPr>
        <w:t xml:space="preserve">（一）竞赛报名 </w:t>
      </w:r>
    </w:p>
    <w:p>
      <w:pPr>
        <w:widowControl/>
        <w:ind w:firstLine="560"/>
        <w:jc w:val="left"/>
        <w:rPr>
          <w:rFonts w:ascii="仿宋" w:hAnsi="仿宋" w:cs="仿宋"/>
          <w:color w:val="000000"/>
          <w:kern w:val="0"/>
          <w:szCs w:val="28"/>
          <w:highlight w:val="none"/>
          <w:lang w:bidi="ar"/>
        </w:rPr>
      </w:pPr>
      <w:r>
        <w:rPr>
          <w:rFonts w:hint="eastAsia" w:ascii="仿宋" w:hAnsi="仿宋" w:cs="仿宋"/>
          <w:color w:val="000000"/>
          <w:kern w:val="0"/>
          <w:szCs w:val="28"/>
          <w:highlight w:val="none"/>
          <w:lang w:bidi="ar"/>
        </w:rPr>
        <w:t>高职组参赛对象为高职院校全日制在籍学生（含本科院校高职学生），1997年5月1日之后出生。</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凡在往届全国职业院校技能大赛中获一等奖的选手，不再参加同一项目同一组别的比赛。 </w:t>
      </w:r>
    </w:p>
    <w:p>
      <w:pPr>
        <w:widowControl/>
        <w:ind w:firstLine="562"/>
        <w:jc w:val="left"/>
        <w:rPr>
          <w:rFonts w:ascii="仿宋" w:hAnsi="仿宋" w:cs="仿宋"/>
          <w:b/>
          <w:bCs/>
          <w:color w:val="000000"/>
          <w:kern w:val="0"/>
          <w:szCs w:val="28"/>
          <w:lang w:bidi="ar"/>
        </w:rPr>
      </w:pPr>
      <w:r>
        <w:rPr>
          <w:rFonts w:hint="eastAsia" w:ascii="仿宋" w:hAnsi="仿宋" w:cs="仿宋"/>
          <w:b/>
          <w:bCs/>
          <w:color w:val="000000"/>
          <w:kern w:val="0"/>
          <w:szCs w:val="28"/>
          <w:lang w:bidi="ar"/>
        </w:rPr>
        <w:t xml:space="preserve">（二）熟悉场地规则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为各参赛选手提供统一有序的熟悉场地时间安排，熟悉场地时限定在指定区域与路线，不允许进入比赛区。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2. 熟悉场地时严禁与现场工作人员进行交流，不发表没有根据以及有损大赛整体形象的言论。</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熟悉场地时严格遵守大赛各种制度，严禁拥挤，喧哗，以免发生意外事故。 </w:t>
      </w:r>
    </w:p>
    <w:p>
      <w:pPr>
        <w:widowControl/>
        <w:ind w:firstLine="562"/>
        <w:jc w:val="left"/>
        <w:rPr>
          <w:rFonts w:ascii="仿宋" w:hAnsi="仿宋" w:cs="仿宋"/>
          <w:b/>
          <w:bCs/>
          <w:color w:val="000000"/>
          <w:kern w:val="0"/>
          <w:szCs w:val="28"/>
          <w:lang w:bidi="ar"/>
        </w:rPr>
      </w:pPr>
      <w:r>
        <w:rPr>
          <w:rFonts w:hint="eastAsia" w:ascii="仿宋" w:hAnsi="仿宋" w:cs="仿宋"/>
          <w:b/>
          <w:bCs/>
          <w:color w:val="000000"/>
          <w:kern w:val="0"/>
          <w:szCs w:val="28"/>
          <w:lang w:bidi="ar"/>
        </w:rPr>
        <w:t>（三）入场规则</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参赛选手按赛项规定的时间准时到达赛场检录区集合。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2. 裁判将对各参赛选手的身份进行核对。参赛选手须提供参赛证、身份证、经学校注册的学生证，证件上的姓名、年龄、相貌特征等应与参赛证信息一致。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裁判检验参赛选手携带的随身物品，不允许携带任何具有通讯及存储功能的设备、纸质材料等物品，检查合格后方可进入赛场抽签区。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4. 第一次加密时，参赛选手按已获得的抽签顺序号依次抽取参赛编号；第二次加密时，参赛选手凭已获得的参赛编号抽取比赛工位号；完成两次加密后，参赛选手在现场裁判的指挥下有序进入赛场，按已获得的比赛工位号就位。 </w:t>
      </w:r>
    </w:p>
    <w:p>
      <w:pPr>
        <w:widowControl/>
        <w:ind w:firstLine="281" w:firstLineChars="100"/>
        <w:jc w:val="left"/>
        <w:rPr>
          <w:rFonts w:ascii="仿宋" w:hAnsi="仿宋" w:cs="仿宋"/>
          <w:color w:val="000000"/>
          <w:kern w:val="0"/>
          <w:szCs w:val="28"/>
          <w:lang w:bidi="ar"/>
        </w:rPr>
      </w:pPr>
      <w:r>
        <w:rPr>
          <w:rFonts w:hint="eastAsia" w:ascii="仿宋" w:hAnsi="仿宋" w:cs="仿宋"/>
          <w:b/>
          <w:bCs/>
          <w:color w:val="000000"/>
          <w:kern w:val="0"/>
          <w:szCs w:val="28"/>
          <w:lang w:bidi="ar"/>
        </w:rPr>
        <w:t>（四）</w:t>
      </w:r>
      <w:r>
        <w:rPr>
          <w:rFonts w:hint="eastAsia" w:ascii="仿宋" w:hAnsi="仿宋" w:cs="仿宋"/>
          <w:b/>
          <w:bCs/>
          <w:kern w:val="0"/>
          <w:szCs w:val="28"/>
        </w:rPr>
        <w:t>正式比赛</w:t>
      </w:r>
      <w:r>
        <w:rPr>
          <w:rFonts w:hint="eastAsia" w:ascii="仿宋" w:hAnsi="仿宋" w:cs="仿宋"/>
          <w:b/>
          <w:bCs/>
          <w:color w:val="000000"/>
          <w:kern w:val="0"/>
          <w:szCs w:val="28"/>
          <w:lang w:bidi="ar"/>
        </w:rPr>
        <w:t>规则</w:t>
      </w:r>
      <w:r>
        <w:rPr>
          <w:rFonts w:hint="eastAsia" w:ascii="仿宋" w:hAnsi="仿宋" w:cs="仿宋"/>
          <w:color w:val="000000"/>
          <w:kern w:val="0"/>
          <w:szCs w:val="28"/>
          <w:lang w:bidi="ar"/>
        </w:rPr>
        <w:t xml:space="preserve">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选手进入赛场后，必须听从现场裁判的统一安排和指挥。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2. 参赛选手进入比赛工位号后，可查看比赛环境，如有问题可立即向现场裁判报告，但不可进行比赛任务的操作。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在现场裁判宣布比赛开始后，参赛选手才能开始动手完成比赛任务的操作。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4. 比赛过程中，参赛选手必须严格遵守安全操作规程，确保人身和设备安全，并接受现场裁判和技术人员的监督和警示。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5. 比赛过程中若有任务书字迹不清问题，可示意现场裁判，由现场裁判解决。若认为比赛设备有问题需修复或更换时，应在赛场记录表的相应栏目填写修复问题及原因、更换设备原因、更换时间等并签比赛工位号确认后，由现场裁判和技术人员予以修复或更换。修复或更换工作完成后，现场裁判和技术人员须检验并将结果记录在赛场记录表的相应栏目中并由参赛选手签工位号确认。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6. 在需要通电检查或调试设备时，应先报告现场裁判或技术人员，通电前的安全检测合格，获允许并派人监护后，才能通电检查或调试。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7. 经现场裁判和技术人员检验，比赛设备确因设备、元器件故障或损坏而进行修复或更换时，从参赛选手报告现场裁判到完成修复或更换之间的用时，为比赛补时时间。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8. 在比赛过程中，参赛选手不得随意离开比赛工位，不得与其他参赛选手和人员交流。参赛选手因故终止比赛或提前完成比赛任务需要离场，应报告现场裁判，在赛场记录表的相应栏目填写离场时间、离场原因并由现场裁判签名和选手签工位号确认。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9. 在比赛过程中，严重违反赛场纪律影响他人比赛者，违反操作规程不听劝告者，越界影响他人者，有意损坏赛场设备或设施者，经现场裁判报告裁判长，经大赛组委会办公室同意后，由裁判长宣布取消其比赛资格。 </w:t>
      </w:r>
    </w:p>
    <w:p>
      <w:pPr>
        <w:widowControl/>
        <w:ind w:firstLine="562"/>
        <w:jc w:val="left"/>
        <w:rPr>
          <w:rFonts w:ascii="仿宋" w:hAnsi="仿宋" w:cs="仿宋"/>
          <w:b/>
          <w:bCs/>
          <w:color w:val="000000"/>
          <w:kern w:val="0"/>
          <w:szCs w:val="28"/>
          <w:lang w:bidi="ar"/>
        </w:rPr>
      </w:pPr>
      <w:r>
        <w:rPr>
          <w:rFonts w:hint="eastAsia" w:ascii="仿宋" w:hAnsi="仿宋" w:cs="仿宋"/>
          <w:b/>
          <w:bCs/>
          <w:color w:val="000000"/>
          <w:kern w:val="0"/>
          <w:szCs w:val="28"/>
          <w:lang w:bidi="ar"/>
        </w:rPr>
        <w:t xml:space="preserve">（五）离场规则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比赛结束前 15 分钟，裁判长提示一次比赛剩余时间。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2. 比赛结束信号给出，由裁判长宣布终止比赛。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裁判长宣布终止比赛后，参赛选手应停止全部竞赛任务的操作。竞赛过程中的所有资料和比赛用设备工具等均需整齐摆放在工作台上，不得带出赛场。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4. 裁判长宣布终止比赛后，现场裁判组织、监督选手有序退出工位，站在工位边的过道上。裁判长宣布离场时，现场裁判指挥选手统一离开赛场。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5. 需要补时的参赛选手继续在自己的比赛工位上，在现场裁判宣布补时操作开始后，需要补时的参赛选手开始继续操作。当现场裁判宣布补时时间结束时，选手应停止操作，离开赛场。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6. 选手离场后，到指定的休息场所用餐、等待评定比赛成绩。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7. 所有参赛选手在完成比赛之后，均应该整理比赛工位及其周边的清洁，使之符合职业规范。 </w:t>
      </w:r>
    </w:p>
    <w:p>
      <w:pPr>
        <w:widowControl/>
        <w:ind w:firstLine="562"/>
        <w:jc w:val="left"/>
        <w:rPr>
          <w:rFonts w:ascii="仿宋" w:hAnsi="仿宋" w:cs="仿宋"/>
          <w:color w:val="000000"/>
          <w:kern w:val="0"/>
          <w:szCs w:val="28"/>
          <w:lang w:bidi="ar"/>
        </w:rPr>
      </w:pPr>
      <w:r>
        <w:rPr>
          <w:rFonts w:hint="eastAsia" w:ascii="仿宋" w:hAnsi="仿宋" w:cs="仿宋"/>
          <w:b/>
          <w:bCs/>
          <w:color w:val="000000"/>
          <w:kern w:val="0"/>
          <w:szCs w:val="28"/>
          <w:lang w:bidi="ar"/>
        </w:rPr>
        <w:t>（六）成绩评定</w:t>
      </w:r>
      <w:r>
        <w:rPr>
          <w:rFonts w:hint="eastAsia" w:ascii="仿宋" w:hAnsi="仿宋" w:cs="仿宋"/>
          <w:color w:val="000000"/>
          <w:kern w:val="0"/>
          <w:szCs w:val="28"/>
          <w:lang w:bidi="ar"/>
        </w:rPr>
        <w:t xml:space="preserve">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竞赛系统根据设定的评分标准进行自动评分，确定参赛选手完成比赛成果的各项评分。 </w:t>
      </w:r>
    </w:p>
    <w:p>
      <w:pPr>
        <w:widowControl/>
        <w:ind w:firstLine="562"/>
        <w:jc w:val="left"/>
        <w:rPr>
          <w:rFonts w:ascii="仿宋" w:hAnsi="仿宋" w:cs="仿宋"/>
          <w:b/>
          <w:bCs/>
          <w:color w:val="000000"/>
          <w:kern w:val="0"/>
          <w:szCs w:val="28"/>
          <w:lang w:bidi="ar"/>
        </w:rPr>
      </w:pPr>
      <w:r>
        <w:rPr>
          <w:rFonts w:hint="eastAsia" w:ascii="仿宋" w:hAnsi="仿宋" w:cs="仿宋"/>
          <w:b/>
          <w:bCs/>
          <w:color w:val="000000"/>
          <w:kern w:val="0"/>
          <w:szCs w:val="28"/>
          <w:lang w:bidi="ar"/>
        </w:rPr>
        <w:t xml:space="preserve">（七）成绩公布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本赛项评判、检测和成绩统计完成后，承办院校指派专人负责将比赛成绩及时录入网上竞赛管理系统，并公示。最终奖次以正式获奖文件为准。</w:t>
      </w:r>
    </w:p>
    <w:p>
      <w:pPr>
        <w:ind w:firstLine="562"/>
        <w:rPr>
          <w:rFonts w:ascii="仿宋" w:hAnsi="仿宋" w:cs="仿宋"/>
          <w:b/>
          <w:color w:val="000000"/>
          <w:szCs w:val="28"/>
        </w:rPr>
      </w:pPr>
      <w:r>
        <w:rPr>
          <w:rFonts w:hint="eastAsia" w:ascii="仿宋" w:hAnsi="仿宋" w:cs="仿宋"/>
          <w:b/>
          <w:color w:val="000000"/>
          <w:szCs w:val="28"/>
        </w:rPr>
        <w:t>七、竞赛环境</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竞赛场地中的每个竞赛工位内设有操作平台。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每个工位内，配有单独带漏电保护空气开关的 220 伏交流电源，工位内的电缆线应符合安全要求。每个竞赛工位按照 2000W 的用电负荷来规划准备。 每个竞赛工位面积 9～10 ㎡，工位之间由隔板隔开，以确保参赛队之间互不干扰。竞赛工位标明工位号，并配备竞赛平台和技术工作要求的软、硬件环境。环境标准要求保证赛场采光（大于 500lux）、照明和通风良好，为每支参赛队提供笔、纸张等工具，提供饮用水，提供一个垃圾箱。竞赛全天使用内网进行比赛，不连接公网环境。 </w:t>
      </w:r>
    </w:p>
    <w:p>
      <w:pPr>
        <w:numPr>
          <w:ilvl w:val="0"/>
          <w:numId w:val="1"/>
        </w:numPr>
        <w:ind w:firstLine="562"/>
        <w:rPr>
          <w:rFonts w:ascii="仿宋" w:hAnsi="仿宋" w:cs="仿宋"/>
          <w:color w:val="000000"/>
          <w:szCs w:val="28"/>
        </w:rPr>
      </w:pPr>
      <w:r>
        <w:rPr>
          <w:rFonts w:hint="eastAsia" w:ascii="仿宋" w:hAnsi="仿宋" w:cs="仿宋"/>
          <w:b/>
          <w:color w:val="000000"/>
          <w:szCs w:val="28"/>
        </w:rPr>
        <w:t>技术规范</w:t>
      </w:r>
    </w:p>
    <w:tbl>
      <w:tblPr>
        <w:tblStyle w:val="10"/>
        <w:tblW w:w="83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8"/>
        <w:gridCol w:w="2340"/>
        <w:gridCol w:w="51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序号</w:t>
            </w:r>
          </w:p>
        </w:tc>
        <w:tc>
          <w:tcPr>
            <w:tcW w:w="2340" w:type="dxa"/>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标准号/规范简称</w:t>
            </w:r>
          </w:p>
        </w:tc>
        <w:tc>
          <w:tcPr>
            <w:tcW w:w="5101" w:type="dxa"/>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fldChar w:fldCharType="begin"/>
            </w:r>
            <w:r>
              <w:instrText xml:space="preserve"> HYPERLINK "http://www.chinabyte.com/keyword/ISO/" \t "http://cio.chinabyte.com/277/_blank" </w:instrText>
            </w:r>
            <w:r>
              <w:fldChar w:fldCharType="separate"/>
            </w:r>
            <w:r>
              <w:rPr>
                <w:rFonts w:hint="eastAsia" w:ascii="仿宋" w:hAnsi="仿宋" w:cs="仿宋"/>
                <w:color w:val="000000"/>
                <w:sz w:val="24"/>
                <w:szCs w:val="24"/>
              </w:rPr>
              <w:t>ISO</w:t>
            </w:r>
            <w:r>
              <w:rPr>
                <w:rFonts w:hint="eastAsia" w:ascii="仿宋" w:hAnsi="仿宋" w:cs="仿宋"/>
                <w:color w:val="000000"/>
                <w:sz w:val="24"/>
                <w:szCs w:val="24"/>
              </w:rPr>
              <w:fldChar w:fldCharType="end"/>
            </w:r>
            <w:r>
              <w:rPr>
                <w:rFonts w:hint="eastAsia" w:ascii="仿宋" w:hAnsi="仿宋" w:cs="仿宋"/>
                <w:color w:val="000000"/>
                <w:sz w:val="24"/>
                <w:szCs w:val="24"/>
              </w:rPr>
              <w:t>/IEC 17788:2014</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信息技术 云计算 概述和词汇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ISO/IEC 17789:2014</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信息技术 云计算 参考架构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3</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GB/T 31167-2014</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云计算服务安全指南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4</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 xml:space="preserve">GB/T 31168-2014 </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信息安全技术 云计算服务安全能力要求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5</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GB/T 32400-2015</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信息技术 云计算 概览和词汇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6</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YD/T 2542-2013</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电信互联网数据中心（IDC）总体技术要求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7</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YD/T 2441-2013</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互联网数据中心技术及分级分类标准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86"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8</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YD/T 2442-2013</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互联网数据中心资源占用、能效及排放技术要求和评测方法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9</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YD/T 2543-2013</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电信互联网数据中心（IDC）的能耗测评方法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10</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ISO/IEC JTC 1/SC 32 N 2388b</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数据管理和交互（Data Management and Interchange）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11</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GB/T 28821-1012</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关系数据管理系统技术要求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jc w:val="center"/>
        </w:trPr>
        <w:tc>
          <w:tcPr>
            <w:tcW w:w="938"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12</w:t>
            </w:r>
          </w:p>
        </w:tc>
        <w:tc>
          <w:tcPr>
            <w:tcW w:w="2340"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LD/T81.1-2006</w:t>
            </w:r>
          </w:p>
        </w:tc>
        <w:tc>
          <w:tcPr>
            <w:tcW w:w="5101" w:type="dxa"/>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职业技能实训和鉴定设备技术规范</w:t>
            </w:r>
          </w:p>
        </w:tc>
      </w:tr>
    </w:tbl>
    <w:p>
      <w:pPr>
        <w:ind w:firstLine="562"/>
        <w:rPr>
          <w:rFonts w:ascii="仿宋" w:hAnsi="仿宋" w:cs="仿宋"/>
          <w:b/>
          <w:color w:val="000000"/>
          <w:szCs w:val="28"/>
        </w:rPr>
      </w:pPr>
    </w:p>
    <w:p>
      <w:pPr>
        <w:ind w:firstLine="562"/>
        <w:rPr>
          <w:rFonts w:ascii="仿宋" w:hAnsi="仿宋" w:cs="仿宋"/>
          <w:b/>
          <w:color w:val="000000"/>
          <w:szCs w:val="28"/>
        </w:rPr>
      </w:pPr>
      <w:r>
        <w:rPr>
          <w:rFonts w:hint="eastAsia" w:ascii="仿宋" w:hAnsi="仿宋" w:cs="仿宋"/>
          <w:b/>
          <w:color w:val="000000"/>
          <w:szCs w:val="28"/>
        </w:rPr>
        <w:t>九、技术平台</w:t>
      </w:r>
    </w:p>
    <w:p>
      <w:pPr>
        <w:widowControl/>
        <w:ind w:firstLine="560"/>
        <w:jc w:val="left"/>
        <w:rPr>
          <w:rFonts w:ascii="仿宋" w:hAnsi="仿宋" w:cs="仿宋"/>
          <w:color w:val="000000"/>
          <w:kern w:val="0"/>
          <w:szCs w:val="28"/>
        </w:rPr>
      </w:pPr>
      <w:r>
        <w:rPr>
          <w:rFonts w:hint="eastAsia" w:ascii="仿宋" w:hAnsi="仿宋" w:cs="仿宋"/>
          <w:color w:val="000000"/>
          <w:kern w:val="0"/>
          <w:szCs w:val="28"/>
        </w:rPr>
        <w:t>单个赛位软、硬件配置如下（按照 28个参赛选手配置，同时配置占参赛选手数10%的赛场备用工位）：</w:t>
      </w:r>
    </w:p>
    <w:tbl>
      <w:tblPr>
        <w:tblStyle w:val="10"/>
        <w:tblW w:w="8501" w:type="dxa"/>
        <w:jc w:val="center"/>
        <w:tblLayout w:type="fixed"/>
        <w:tblCellMar>
          <w:top w:w="0" w:type="dxa"/>
          <w:left w:w="15" w:type="dxa"/>
          <w:bottom w:w="0" w:type="dxa"/>
          <w:right w:w="15" w:type="dxa"/>
        </w:tblCellMar>
      </w:tblPr>
      <w:tblGrid>
        <w:gridCol w:w="1091"/>
        <w:gridCol w:w="2690"/>
        <w:gridCol w:w="570"/>
        <w:gridCol w:w="3544"/>
        <w:gridCol w:w="606"/>
      </w:tblGrid>
      <w:tr>
        <w:tblPrEx>
          <w:tblCellMar>
            <w:top w:w="0" w:type="dxa"/>
            <w:left w:w="15" w:type="dxa"/>
            <w:bottom w:w="0" w:type="dxa"/>
            <w:right w:w="15" w:type="dxa"/>
          </w:tblCellMar>
        </w:tblPrEx>
        <w:trPr>
          <w:trHeight w:val="432" w:hRule="atLeast"/>
          <w:jc w:val="center"/>
        </w:trPr>
        <w:tc>
          <w:tcPr>
            <w:tcW w:w="1091"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类别</w:t>
            </w:r>
          </w:p>
        </w:tc>
        <w:tc>
          <w:tcPr>
            <w:tcW w:w="269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名称</w:t>
            </w:r>
          </w:p>
        </w:tc>
        <w:tc>
          <w:tcPr>
            <w:tcW w:w="57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数量</w:t>
            </w:r>
          </w:p>
        </w:tc>
        <w:tc>
          <w:tcPr>
            <w:tcW w:w="3544"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备注</w:t>
            </w:r>
          </w:p>
        </w:tc>
        <w:tc>
          <w:tcPr>
            <w:tcW w:w="60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总数</w:t>
            </w:r>
          </w:p>
        </w:tc>
      </w:tr>
      <w:tr>
        <w:tblPrEx>
          <w:tblCellMar>
            <w:top w:w="0" w:type="dxa"/>
            <w:left w:w="15" w:type="dxa"/>
            <w:bottom w:w="0" w:type="dxa"/>
            <w:right w:w="15" w:type="dxa"/>
          </w:tblCellMar>
        </w:tblPrEx>
        <w:trPr>
          <w:trHeight w:val="1352" w:hRule="atLeast"/>
          <w:jc w:val="center"/>
        </w:trPr>
        <w:tc>
          <w:tcPr>
            <w:tcW w:w="1091" w:type="dxa"/>
            <w:vMerge w:val="restart"/>
            <w:tcBorders>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硬件设备</w:t>
            </w:r>
          </w:p>
        </w:tc>
        <w:tc>
          <w:tcPr>
            <w:tcW w:w="269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计算节点服务器</w:t>
            </w:r>
          </w:p>
        </w:tc>
        <w:tc>
          <w:tcPr>
            <w:tcW w:w="570" w:type="dxa"/>
            <w:tcBorders>
              <w:top w:val="single" w:color="000000" w:sz="4" w:space="0"/>
              <w:left w:val="single" w:color="000000" w:sz="4" w:space="0"/>
              <w:bottom w:val="single" w:color="000000" w:sz="4" w:space="0"/>
              <w:right w:val="single" w:color="000000" w:sz="4" w:space="0"/>
            </w:tcBorders>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544" w:type="dxa"/>
            <w:tcBorders>
              <w:top w:val="single" w:color="000000" w:sz="4" w:space="0"/>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通用2U服务器，建议Intel Xeon E5系列处理器以上，内存 16G以上，硬盘300G以上</w:t>
            </w:r>
          </w:p>
        </w:tc>
        <w:tc>
          <w:tcPr>
            <w:tcW w:w="606" w:type="dxa"/>
            <w:tcBorders>
              <w:top w:val="single" w:color="000000" w:sz="4" w:space="0"/>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28</w:t>
            </w:r>
          </w:p>
        </w:tc>
      </w:tr>
      <w:tr>
        <w:tblPrEx>
          <w:tblCellMar>
            <w:top w:w="0" w:type="dxa"/>
            <w:left w:w="15" w:type="dxa"/>
            <w:bottom w:w="0" w:type="dxa"/>
            <w:right w:w="15" w:type="dxa"/>
          </w:tblCellMar>
        </w:tblPrEx>
        <w:trPr>
          <w:trHeight w:val="90" w:hRule="atLeast"/>
          <w:jc w:val="center"/>
        </w:trPr>
        <w:tc>
          <w:tcPr>
            <w:tcW w:w="1091" w:type="dxa"/>
            <w:vMerge w:val="continue"/>
            <w:tcBorders>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269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存储节点服务器</w:t>
            </w:r>
          </w:p>
        </w:tc>
        <w:tc>
          <w:tcPr>
            <w:tcW w:w="570" w:type="dxa"/>
            <w:tcBorders>
              <w:top w:val="single" w:color="000000" w:sz="4" w:space="0"/>
              <w:left w:val="single" w:color="000000" w:sz="4" w:space="0"/>
              <w:bottom w:val="single" w:color="000000" w:sz="4" w:space="0"/>
              <w:right w:val="single" w:color="000000" w:sz="4" w:space="0"/>
            </w:tcBorders>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544" w:type="dxa"/>
            <w:tcBorders>
              <w:top w:val="single" w:color="000000" w:sz="4" w:space="0"/>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通用2U服务器，建议Intel Xeon E5系列处理器，内存16G以上，硬盘2T以上</w:t>
            </w:r>
          </w:p>
        </w:tc>
        <w:tc>
          <w:tcPr>
            <w:tcW w:w="606" w:type="dxa"/>
            <w:tcBorders>
              <w:top w:val="single" w:color="000000" w:sz="4" w:space="0"/>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28</w:t>
            </w:r>
          </w:p>
        </w:tc>
      </w:tr>
      <w:tr>
        <w:tblPrEx>
          <w:tblCellMar>
            <w:top w:w="0" w:type="dxa"/>
            <w:left w:w="15" w:type="dxa"/>
            <w:bottom w:w="0" w:type="dxa"/>
            <w:right w:w="15" w:type="dxa"/>
          </w:tblCellMar>
        </w:tblPrEx>
        <w:trPr>
          <w:trHeight w:val="410" w:hRule="atLeast"/>
          <w:jc w:val="center"/>
        </w:trPr>
        <w:tc>
          <w:tcPr>
            <w:tcW w:w="1091" w:type="dxa"/>
            <w:vMerge w:val="continue"/>
            <w:tcBorders>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269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路由交换模块</w:t>
            </w:r>
          </w:p>
        </w:tc>
        <w:tc>
          <w:tcPr>
            <w:tcW w:w="57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544" w:type="dxa"/>
            <w:tcBorders>
              <w:top w:val="single" w:color="000000" w:sz="4" w:space="0"/>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通用网络设备，三层交换机，千兆RJ45接口16个以上</w:t>
            </w:r>
          </w:p>
        </w:tc>
        <w:tc>
          <w:tcPr>
            <w:tcW w:w="606" w:type="dxa"/>
            <w:tcBorders>
              <w:top w:val="single" w:color="000000" w:sz="4" w:space="0"/>
              <w:left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28</w:t>
            </w:r>
          </w:p>
        </w:tc>
      </w:tr>
      <w:tr>
        <w:trPr>
          <w:trHeight w:val="480" w:hRule="atLeast"/>
          <w:jc w:val="center"/>
        </w:trPr>
        <w:tc>
          <w:tcPr>
            <w:tcW w:w="1091" w:type="dxa"/>
            <w:vMerge w:val="continue"/>
            <w:tcBorders>
              <w:left w:val="single" w:color="000000" w:sz="4" w:space="0"/>
              <w:bottom w:val="single" w:color="auto" w:sz="4" w:space="0"/>
              <w:right w:val="single" w:color="000000" w:sz="4" w:space="0"/>
            </w:tcBorders>
          </w:tcPr>
          <w:p>
            <w:pPr>
              <w:widowControl/>
              <w:ind w:firstLine="560"/>
              <w:jc w:val="center"/>
              <w:textAlignment w:val="center"/>
              <w:rPr>
                <w:rFonts w:ascii="仿宋" w:hAnsi="仿宋" w:cs="仿宋"/>
                <w:bCs/>
                <w:color w:val="000000"/>
                <w:szCs w:val="28"/>
              </w:rPr>
            </w:pPr>
          </w:p>
        </w:tc>
        <w:tc>
          <w:tcPr>
            <w:tcW w:w="2690" w:type="dxa"/>
            <w:tcBorders>
              <w:top w:val="single" w:color="000000" w:sz="4" w:space="0"/>
              <w:left w:val="single" w:color="000000" w:sz="4" w:space="0"/>
              <w:bottom w:val="single" w:color="auto"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PC机</w:t>
            </w:r>
          </w:p>
        </w:tc>
        <w:tc>
          <w:tcPr>
            <w:tcW w:w="57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544"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通用设备，建议i5以上CPU或同性能其他CPU，内存8G以上，SSD硬盘128G以上</w:t>
            </w:r>
          </w:p>
        </w:tc>
        <w:tc>
          <w:tcPr>
            <w:tcW w:w="60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28</w:t>
            </w:r>
          </w:p>
        </w:tc>
      </w:tr>
      <w:tr>
        <w:tblPrEx>
          <w:tblCellMar>
            <w:top w:w="0" w:type="dxa"/>
            <w:left w:w="15" w:type="dxa"/>
            <w:bottom w:w="0" w:type="dxa"/>
            <w:right w:w="15" w:type="dxa"/>
          </w:tblCellMar>
        </w:tblPrEx>
        <w:trPr>
          <w:trHeight w:val="761" w:hRule="atLeast"/>
          <w:jc w:val="center"/>
        </w:trPr>
        <w:tc>
          <w:tcPr>
            <w:tcW w:w="1091" w:type="dxa"/>
            <w:vMerge w:val="continue"/>
            <w:tcBorders>
              <w:top w:val="single" w:color="auto" w:sz="4" w:space="0"/>
              <w:left w:val="single" w:color="auto" w:sz="4" w:space="0"/>
              <w:bottom w:val="single" w:color="auto" w:sz="4" w:space="0"/>
              <w:right w:val="single" w:color="auto" w:sz="4" w:space="0"/>
            </w:tcBorders>
          </w:tcPr>
          <w:p>
            <w:pPr>
              <w:widowControl/>
              <w:ind w:firstLine="560"/>
              <w:jc w:val="center"/>
              <w:textAlignment w:val="center"/>
              <w:rPr>
                <w:rFonts w:ascii="仿宋" w:hAnsi="仿宋" w:cs="仿宋"/>
                <w:bCs/>
                <w:color w:val="000000"/>
                <w:szCs w:val="28"/>
              </w:rPr>
            </w:pPr>
          </w:p>
        </w:tc>
        <w:tc>
          <w:tcPr>
            <w:tcW w:w="269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OpenStack云平台软件包</w:t>
            </w:r>
          </w:p>
        </w:tc>
        <w:tc>
          <w:tcPr>
            <w:tcW w:w="570" w:type="dxa"/>
            <w:tcBorders>
              <w:top w:val="single" w:color="000000" w:sz="4" w:space="0"/>
              <w:left w:val="single" w:color="auto" w:sz="4" w:space="0"/>
              <w:bottom w:val="single" w:color="000000"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544"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包含OpenStack Queens离线安装包、安装脚本、qcow2镜像文件等</w:t>
            </w:r>
          </w:p>
        </w:tc>
        <w:tc>
          <w:tcPr>
            <w:tcW w:w="606" w:type="dxa"/>
            <w:tcBorders>
              <w:top w:val="single" w:color="000000" w:sz="4" w:space="0"/>
              <w:left w:val="single" w:color="auto"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28</w:t>
            </w:r>
          </w:p>
        </w:tc>
      </w:tr>
      <w:tr>
        <w:tblPrEx>
          <w:tblCellMar>
            <w:top w:w="0" w:type="dxa"/>
            <w:left w:w="15" w:type="dxa"/>
            <w:bottom w:w="0" w:type="dxa"/>
            <w:right w:w="15" w:type="dxa"/>
          </w:tblCellMar>
        </w:tblPrEx>
        <w:trPr>
          <w:trHeight w:val="1275" w:hRule="atLeast"/>
          <w:jc w:val="center"/>
        </w:trPr>
        <w:tc>
          <w:tcPr>
            <w:tcW w:w="1091" w:type="dxa"/>
            <w:vMerge w:val="continue"/>
            <w:tcBorders>
              <w:top w:val="single" w:color="auto" w:sz="4" w:space="0"/>
              <w:left w:val="single" w:color="auto" w:sz="4" w:space="0"/>
              <w:bottom w:val="single" w:color="auto" w:sz="4" w:space="0"/>
              <w:right w:val="single" w:color="auto" w:sz="4" w:space="0"/>
            </w:tcBorders>
          </w:tcPr>
          <w:p>
            <w:pPr>
              <w:widowControl/>
              <w:ind w:firstLine="560"/>
              <w:jc w:val="center"/>
              <w:textAlignment w:val="center"/>
              <w:rPr>
                <w:rFonts w:ascii="仿宋" w:hAnsi="仿宋" w:cs="仿宋"/>
                <w:bCs/>
                <w:color w:val="000000"/>
                <w:szCs w:val="28"/>
              </w:rPr>
            </w:pPr>
          </w:p>
        </w:tc>
        <w:tc>
          <w:tcPr>
            <w:tcW w:w="269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容器云平台软件包</w:t>
            </w:r>
          </w:p>
        </w:tc>
        <w:tc>
          <w:tcPr>
            <w:tcW w:w="570" w:type="dxa"/>
            <w:tcBorders>
              <w:top w:val="single" w:color="000000" w:sz="4" w:space="0"/>
              <w:left w:val="single" w:color="auto" w:sz="4" w:space="0"/>
              <w:bottom w:val="single" w:color="000000"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544"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包含DockerCE、Docker compose、Kubernates等离线安装包，竞赛所需的应用软件包与容器镜像</w:t>
            </w:r>
          </w:p>
        </w:tc>
        <w:tc>
          <w:tcPr>
            <w:tcW w:w="606" w:type="dxa"/>
            <w:tcBorders>
              <w:top w:val="single" w:color="000000" w:sz="4" w:space="0"/>
              <w:left w:val="single" w:color="auto"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28</w:t>
            </w:r>
          </w:p>
        </w:tc>
      </w:tr>
      <w:tr>
        <w:trPr>
          <w:trHeight w:val="480" w:hRule="atLeast"/>
          <w:jc w:val="center"/>
        </w:trPr>
        <w:tc>
          <w:tcPr>
            <w:tcW w:w="10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仿宋" w:hAnsi="仿宋" w:cs="仿宋"/>
                <w:bCs/>
                <w:color w:val="000000"/>
                <w:szCs w:val="28"/>
              </w:rPr>
            </w:pPr>
            <w:r>
              <w:rPr>
                <w:rFonts w:hint="eastAsia" w:ascii="仿宋" w:hAnsi="仿宋" w:cs="仿宋"/>
                <w:color w:val="000000"/>
                <w:sz w:val="24"/>
                <w:szCs w:val="24"/>
              </w:rPr>
              <w:t>竞赛平台</w:t>
            </w:r>
          </w:p>
        </w:tc>
        <w:tc>
          <w:tcPr>
            <w:tcW w:w="2690"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云计算竞赛管理平台</w:t>
            </w:r>
          </w:p>
        </w:tc>
        <w:tc>
          <w:tcPr>
            <w:tcW w:w="570" w:type="dxa"/>
            <w:tcBorders>
              <w:top w:val="single" w:color="000000" w:sz="4" w:space="0"/>
              <w:left w:val="single" w:color="auto"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544" w:type="dxa"/>
            <w:tcBorders>
              <w:top w:val="single" w:color="auto"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支持自动评分</w:t>
            </w:r>
          </w:p>
        </w:tc>
        <w:tc>
          <w:tcPr>
            <w:tcW w:w="60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r>
    </w:tbl>
    <w:p>
      <w:pPr>
        <w:ind w:firstLine="560"/>
        <w:rPr>
          <w:rFonts w:ascii="仿宋" w:hAnsi="仿宋" w:cs="仿宋"/>
          <w:color w:val="000000"/>
          <w:kern w:val="0"/>
          <w:szCs w:val="28"/>
        </w:rPr>
      </w:pPr>
      <w:r>
        <w:rPr>
          <w:rFonts w:hint="eastAsia" w:ascii="仿宋" w:hAnsi="仿宋" w:cs="仿宋"/>
          <w:color w:val="000000"/>
          <w:kern w:val="0"/>
          <w:szCs w:val="28"/>
        </w:rPr>
        <w:t>通用软件和工具清单：</w:t>
      </w:r>
    </w:p>
    <w:tbl>
      <w:tblPr>
        <w:tblStyle w:val="10"/>
        <w:tblW w:w="0" w:type="auto"/>
        <w:jc w:val="center"/>
        <w:tblLayout w:type="fixed"/>
        <w:tblCellMar>
          <w:top w:w="0" w:type="dxa"/>
          <w:left w:w="108" w:type="dxa"/>
          <w:bottom w:w="0" w:type="dxa"/>
          <w:right w:w="108" w:type="dxa"/>
        </w:tblCellMar>
      </w:tblPr>
      <w:tblGrid>
        <w:gridCol w:w="942"/>
        <w:gridCol w:w="3099"/>
        <w:gridCol w:w="4487"/>
      </w:tblGrid>
      <w:tr>
        <w:tblPrEx>
          <w:tblCellMar>
            <w:top w:w="0" w:type="dxa"/>
            <w:left w:w="108" w:type="dxa"/>
            <w:bottom w:w="0" w:type="dxa"/>
            <w:right w:w="108" w:type="dxa"/>
          </w:tblCellMar>
        </w:tblPrEx>
        <w:trPr>
          <w:trHeight w:val="329" w:hRule="atLeast"/>
          <w:jc w:val="center"/>
        </w:trPr>
        <w:tc>
          <w:tcPr>
            <w:tcW w:w="942" w:type="dxa"/>
            <w:tcBorders>
              <w:top w:val="single" w:color="auto" w:sz="4" w:space="0"/>
              <w:left w:val="single" w:color="auto" w:sz="4" w:space="0"/>
              <w:bottom w:val="single" w:color="auto" w:sz="4" w:space="0"/>
              <w:right w:val="single" w:color="auto" w:sz="4" w:space="0"/>
            </w:tcBorders>
            <w:shd w:val="clear" w:color="000000" w:fill="auto"/>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序号</w:t>
            </w:r>
          </w:p>
        </w:tc>
        <w:tc>
          <w:tcPr>
            <w:tcW w:w="3099" w:type="dxa"/>
            <w:tcBorders>
              <w:top w:val="single" w:color="auto" w:sz="4" w:space="0"/>
              <w:left w:val="nil"/>
              <w:bottom w:val="single" w:color="auto" w:sz="4" w:space="0"/>
              <w:right w:val="single" w:color="auto" w:sz="4" w:space="0"/>
            </w:tcBorders>
            <w:shd w:val="clear" w:color="000000" w:fill="auto"/>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软件</w:t>
            </w:r>
          </w:p>
        </w:tc>
        <w:tc>
          <w:tcPr>
            <w:tcW w:w="4487" w:type="dxa"/>
            <w:tcBorders>
              <w:top w:val="single" w:color="auto" w:sz="4" w:space="0"/>
              <w:left w:val="nil"/>
              <w:bottom w:val="single" w:color="auto" w:sz="4" w:space="0"/>
              <w:right w:val="single" w:color="auto" w:sz="4" w:space="0"/>
            </w:tcBorders>
            <w:shd w:val="clear" w:color="000000" w:fill="auto"/>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r>
              <w:rPr>
                <w:rFonts w:hint="eastAsia" w:ascii="仿宋" w:hAnsi="仿宋" w:cs="仿宋"/>
                <w:b/>
                <w:bCs/>
                <w:color w:val="000000"/>
                <w:sz w:val="24"/>
                <w:szCs w:val="24"/>
              </w:rPr>
              <w:t>介绍</w:t>
            </w:r>
          </w:p>
        </w:tc>
      </w:tr>
      <w:tr>
        <w:tblPrEx>
          <w:tblCellMar>
            <w:top w:w="0" w:type="dxa"/>
            <w:left w:w="108" w:type="dxa"/>
            <w:bottom w:w="0" w:type="dxa"/>
            <w:right w:w="108" w:type="dxa"/>
          </w:tblCellMar>
        </w:tblPrEx>
        <w:trPr>
          <w:jc w:val="center"/>
        </w:trPr>
        <w:tc>
          <w:tcPr>
            <w:tcW w:w="942" w:type="dxa"/>
            <w:tcBorders>
              <w:top w:val="nil"/>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w:t>
            </w:r>
          </w:p>
        </w:tc>
        <w:tc>
          <w:tcPr>
            <w:tcW w:w="3099" w:type="dxa"/>
            <w:tcBorders>
              <w:top w:val="nil"/>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Windows</w:t>
            </w:r>
          </w:p>
        </w:tc>
        <w:tc>
          <w:tcPr>
            <w:tcW w:w="4487" w:type="dxa"/>
            <w:tcBorders>
              <w:top w:val="nil"/>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操作系统windows7或windows 10</w:t>
            </w:r>
          </w:p>
        </w:tc>
      </w:tr>
      <w:tr>
        <w:tblPrEx>
          <w:tblCellMar>
            <w:top w:w="0" w:type="dxa"/>
            <w:left w:w="108" w:type="dxa"/>
            <w:bottom w:w="0" w:type="dxa"/>
            <w:right w:w="108" w:type="dxa"/>
          </w:tblCellMar>
        </w:tblPrEx>
        <w:trPr>
          <w:trHeight w:val="818" w:hRule="atLeast"/>
          <w:jc w:val="center"/>
        </w:trPr>
        <w:tc>
          <w:tcPr>
            <w:tcW w:w="942" w:type="dxa"/>
            <w:tcBorders>
              <w:top w:val="nil"/>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2</w:t>
            </w:r>
          </w:p>
        </w:tc>
        <w:tc>
          <w:tcPr>
            <w:tcW w:w="3099" w:type="dxa"/>
            <w:tcBorders>
              <w:top w:val="nil"/>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Microsoft Office软件</w:t>
            </w:r>
          </w:p>
        </w:tc>
        <w:tc>
          <w:tcPr>
            <w:tcW w:w="4487" w:type="dxa"/>
            <w:tcBorders>
              <w:top w:val="nil"/>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试用版包括：Word、PowerPoint、Excel、Visio。</w:t>
            </w:r>
          </w:p>
        </w:tc>
      </w:tr>
      <w:tr>
        <w:tblPrEx>
          <w:tblCellMar>
            <w:top w:w="0" w:type="dxa"/>
            <w:left w:w="108" w:type="dxa"/>
            <w:bottom w:w="0" w:type="dxa"/>
            <w:right w:w="108" w:type="dxa"/>
          </w:tblCellMar>
        </w:tblPrEx>
        <w:trPr>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3</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SecureCRT v7.0 试用版</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SSH（SSH1和SSH2）的终端仿真程序</w:t>
            </w:r>
          </w:p>
        </w:tc>
      </w:tr>
      <w:tr>
        <w:tblPrEx>
          <w:tblCellMar>
            <w:top w:w="0" w:type="dxa"/>
            <w:left w:w="108" w:type="dxa"/>
            <w:bottom w:w="0" w:type="dxa"/>
            <w:right w:w="108" w:type="dxa"/>
          </w:tblCellMar>
        </w:tblPrEx>
        <w:trPr>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4</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Python 3.6</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云平台开发编程环境</w:t>
            </w:r>
          </w:p>
        </w:tc>
      </w:tr>
      <w:tr>
        <w:tblPrEx>
          <w:tblCellMar>
            <w:top w:w="0" w:type="dxa"/>
            <w:left w:w="108" w:type="dxa"/>
            <w:bottom w:w="0" w:type="dxa"/>
            <w:right w:w="108" w:type="dxa"/>
          </w:tblCellMar>
        </w:tblPrEx>
        <w:trPr>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5</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Anaconda3</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Python的发行版本和库管理工具</w:t>
            </w:r>
          </w:p>
        </w:tc>
      </w:tr>
      <w:tr>
        <w:tblPrEx>
          <w:tblCellMar>
            <w:top w:w="0" w:type="dxa"/>
            <w:left w:w="108" w:type="dxa"/>
            <w:bottom w:w="0" w:type="dxa"/>
            <w:right w:w="108" w:type="dxa"/>
          </w:tblCellMar>
        </w:tblPrEx>
        <w:trPr>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6</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MongoDB3.6</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MongoDB 数据库</w:t>
            </w:r>
          </w:p>
        </w:tc>
      </w:tr>
      <w:tr>
        <w:tblPrEx>
          <w:tblCellMar>
            <w:top w:w="0" w:type="dxa"/>
            <w:left w:w="108" w:type="dxa"/>
            <w:bottom w:w="0" w:type="dxa"/>
            <w:right w:w="108" w:type="dxa"/>
          </w:tblCellMar>
        </w:tblPrEx>
        <w:trPr>
          <w:trHeight w:val="288"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7</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PyCharm 2018.3.5</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Python开发工具</w:t>
            </w:r>
          </w:p>
        </w:tc>
      </w:tr>
      <w:tr>
        <w:tblPrEx>
          <w:tblCellMar>
            <w:top w:w="0" w:type="dxa"/>
            <w:left w:w="108" w:type="dxa"/>
            <w:bottom w:w="0" w:type="dxa"/>
            <w:right w:w="108" w:type="dxa"/>
          </w:tblCellMar>
        </w:tblPrEx>
        <w:trPr>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8</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Java SDK 1.8</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服务端Java开发工具包</w:t>
            </w:r>
          </w:p>
        </w:tc>
      </w:tr>
      <w:tr>
        <w:tblPrEx>
          <w:tblCellMar>
            <w:top w:w="0" w:type="dxa"/>
            <w:left w:w="108" w:type="dxa"/>
            <w:bottom w:w="0" w:type="dxa"/>
            <w:right w:w="108" w:type="dxa"/>
          </w:tblCellMar>
        </w:tblPrEx>
        <w:trPr>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9</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MySql 5.0</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Msql数据库</w:t>
            </w:r>
          </w:p>
        </w:tc>
      </w:tr>
      <w:tr>
        <w:tblPrEx>
          <w:tblCellMar>
            <w:top w:w="0" w:type="dxa"/>
            <w:left w:w="108" w:type="dxa"/>
            <w:bottom w:w="0" w:type="dxa"/>
            <w:right w:w="108" w:type="dxa"/>
          </w:tblCellMar>
        </w:tblPrEx>
        <w:trPr>
          <w:trHeight w:val="90"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10</w:t>
            </w:r>
          </w:p>
        </w:tc>
        <w:tc>
          <w:tcPr>
            <w:tcW w:w="3099"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Tomcat7.0</w:t>
            </w:r>
          </w:p>
        </w:tc>
        <w:tc>
          <w:tcPr>
            <w:tcW w:w="4487" w:type="dxa"/>
            <w:tcBorders>
              <w:top w:val="single" w:color="auto" w:sz="4" w:space="0"/>
              <w:left w:val="nil"/>
              <w:bottom w:val="single" w:color="auto" w:sz="4" w:space="0"/>
              <w:right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JavaEE Web服务器</w:t>
            </w:r>
          </w:p>
        </w:tc>
      </w:tr>
    </w:tbl>
    <w:p>
      <w:pPr>
        <w:ind w:firstLine="562"/>
        <w:rPr>
          <w:rFonts w:ascii="仿宋" w:hAnsi="仿宋" w:cs="仿宋"/>
          <w:b/>
          <w:color w:val="000000"/>
          <w:szCs w:val="28"/>
        </w:rPr>
      </w:pPr>
      <w:r>
        <w:rPr>
          <w:rFonts w:hint="eastAsia" w:ascii="仿宋" w:hAnsi="仿宋" w:cs="仿宋"/>
          <w:b/>
          <w:color w:val="000000"/>
          <w:szCs w:val="28"/>
        </w:rPr>
        <w:t>十、成绩评定</w:t>
      </w:r>
    </w:p>
    <w:p>
      <w:pPr>
        <w:widowControl/>
        <w:ind w:firstLine="562"/>
        <w:jc w:val="left"/>
        <w:rPr>
          <w:rFonts w:ascii="仿宋" w:hAnsi="仿宋" w:cs="仿宋"/>
          <w:b/>
          <w:bCs/>
          <w:color w:val="000000"/>
          <w:kern w:val="0"/>
          <w:szCs w:val="28"/>
          <w:lang w:bidi="ar"/>
        </w:rPr>
      </w:pPr>
      <w:r>
        <w:rPr>
          <w:rFonts w:hint="eastAsia" w:ascii="仿宋" w:hAnsi="仿宋" w:cs="仿宋"/>
          <w:b/>
          <w:bCs/>
          <w:color w:val="000000"/>
          <w:kern w:val="0"/>
          <w:szCs w:val="28"/>
          <w:lang w:bidi="ar"/>
        </w:rPr>
        <w:t xml:space="preserve">（一） 评分标准 </w:t>
      </w: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2663"/>
        <w:gridCol w:w="3859"/>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6" w:type="pct"/>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bookmarkStart w:id="7" w:name="_Toc17150"/>
            <w:r>
              <w:rPr>
                <w:rFonts w:hint="eastAsia" w:ascii="仿宋" w:hAnsi="仿宋" w:cs="仿宋"/>
                <w:b/>
                <w:bCs/>
                <w:color w:val="000000"/>
                <w:sz w:val="24"/>
                <w:szCs w:val="24"/>
              </w:rPr>
              <w:t>一级项目</w:t>
            </w:r>
            <w:bookmarkEnd w:id="7"/>
          </w:p>
        </w:tc>
        <w:tc>
          <w:tcPr>
            <w:tcW w:w="1563" w:type="pct"/>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bookmarkStart w:id="8" w:name="_Toc27311"/>
            <w:r>
              <w:rPr>
                <w:rFonts w:hint="eastAsia" w:ascii="仿宋" w:hAnsi="仿宋" w:cs="仿宋"/>
                <w:b/>
                <w:bCs/>
                <w:color w:val="000000"/>
                <w:sz w:val="24"/>
                <w:szCs w:val="24"/>
              </w:rPr>
              <w:t>二级评价项目</w:t>
            </w:r>
            <w:bookmarkEnd w:id="8"/>
          </w:p>
        </w:tc>
        <w:tc>
          <w:tcPr>
            <w:tcW w:w="2265" w:type="pct"/>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bookmarkStart w:id="9" w:name="_Toc14817"/>
            <w:r>
              <w:rPr>
                <w:rFonts w:hint="eastAsia" w:ascii="仿宋" w:hAnsi="仿宋" w:cs="仿宋"/>
                <w:b/>
                <w:bCs/>
                <w:color w:val="000000"/>
                <w:sz w:val="24"/>
                <w:szCs w:val="24"/>
              </w:rPr>
              <w:t>三级评价项目</w:t>
            </w:r>
            <w:bookmarkEnd w:id="9"/>
          </w:p>
        </w:tc>
        <w:tc>
          <w:tcPr>
            <w:tcW w:w="394" w:type="pct"/>
            <w:vAlign w:val="center"/>
          </w:tcPr>
          <w:p>
            <w:pPr>
              <w:shd w:val="solid" w:color="FFFFFF" w:fill="auto"/>
              <w:autoSpaceDN w:val="0"/>
              <w:adjustRightInd w:val="0"/>
              <w:snapToGrid w:val="0"/>
              <w:ind w:firstLine="0" w:firstLineChars="0"/>
              <w:jc w:val="center"/>
              <w:rPr>
                <w:rFonts w:ascii="仿宋" w:hAnsi="仿宋" w:cs="仿宋"/>
                <w:b/>
                <w:bCs/>
                <w:color w:val="000000"/>
                <w:sz w:val="24"/>
                <w:szCs w:val="24"/>
              </w:rPr>
            </w:pPr>
            <w:bookmarkStart w:id="10" w:name="_Toc3117"/>
            <w:r>
              <w:rPr>
                <w:rFonts w:hint="eastAsia" w:ascii="仿宋" w:hAnsi="仿宋" w:cs="仿宋"/>
                <w:b/>
                <w:bCs/>
                <w:color w:val="000000"/>
                <w:sz w:val="24"/>
                <w:szCs w:val="24"/>
              </w:rPr>
              <w:t>配分</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pct"/>
            <w:vMerge w:val="restar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1" w:name="_Toc23957"/>
            <w:r>
              <w:rPr>
                <w:rFonts w:hint="eastAsia" w:ascii="仿宋" w:hAnsi="仿宋" w:cs="仿宋"/>
                <w:color w:val="000000"/>
                <w:sz w:val="24"/>
                <w:szCs w:val="24"/>
              </w:rPr>
              <w:t>私有云平台</w:t>
            </w:r>
            <w:bookmarkEnd w:id="11"/>
          </w:p>
        </w:tc>
        <w:tc>
          <w:tcPr>
            <w:tcW w:w="1563"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任务1 基础运维任务</w:t>
            </w:r>
          </w:p>
        </w:tc>
        <w:tc>
          <w:tcPr>
            <w:tcW w:w="2265"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服务器IP地址设置，主机名设置，磁盘分区，文件系统挂载，WEB、FTP、DNS、NTP等常用Linux服务器安装与配置等。</w:t>
            </w:r>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76" w:type="pct"/>
            <w:vMerge w:val="continue"/>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1563" w:type="pct"/>
            <w:tcBorders>
              <w:top w:val="single" w:color="auto" w:sz="4" w:space="0"/>
              <w:bottom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2" w:name="_Toc14504"/>
            <w:r>
              <w:rPr>
                <w:rFonts w:hint="eastAsia" w:ascii="仿宋" w:hAnsi="仿宋" w:cs="仿宋"/>
                <w:color w:val="000000"/>
                <w:sz w:val="24"/>
                <w:szCs w:val="24"/>
              </w:rPr>
              <w:t>任务2 OpenStack搭建任务</w:t>
            </w:r>
            <w:bookmarkEnd w:id="12"/>
          </w:p>
        </w:tc>
        <w:tc>
          <w:tcPr>
            <w:tcW w:w="2265" w:type="pct"/>
            <w:tcBorders>
              <w:bottom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Openstack云平台搭建基本变量进行配置，使用部署安装脚本快速部署数据库、Keystone 服务、Glance服务、Nova 服务、 Neutron 服务、Dashboad服务、Cinder服务、Swift服务、Heat服务、Ceph服务、Ceilometer和报警Alarm服务等Openstack相关组件，完成私有云平台的搭建部署。</w:t>
            </w:r>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3" w:name="_Toc252"/>
            <w:r>
              <w:rPr>
                <w:rFonts w:hint="eastAsia" w:ascii="仿宋" w:hAnsi="仿宋" w:cs="仿宋"/>
                <w:color w:val="000000"/>
                <w:sz w:val="24"/>
                <w:szCs w:val="24"/>
              </w:rPr>
              <w:t>15</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3" w:hRule="atLeast"/>
          <w:jc w:val="center"/>
        </w:trPr>
        <w:tc>
          <w:tcPr>
            <w:tcW w:w="776" w:type="pct"/>
            <w:vMerge w:val="continue"/>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1563" w:type="pct"/>
            <w:tcBorders>
              <w:top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4" w:name="_Toc1286"/>
            <w:r>
              <w:rPr>
                <w:rFonts w:hint="eastAsia" w:ascii="仿宋" w:hAnsi="仿宋" w:cs="仿宋"/>
                <w:color w:val="000000"/>
                <w:sz w:val="24"/>
                <w:szCs w:val="24"/>
              </w:rPr>
              <w:t>任务3 OpenStack云平台运维</w:t>
            </w:r>
            <w:bookmarkEnd w:id="14"/>
          </w:p>
        </w:tc>
        <w:tc>
          <w:tcPr>
            <w:tcW w:w="2265" w:type="pct"/>
            <w:tcBorders>
              <w:top w:val="single" w:color="auto" w:sz="4" w:space="0"/>
            </w:tcBorders>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5" w:name="_Toc25802"/>
            <w:r>
              <w:rPr>
                <w:rFonts w:hint="eastAsia" w:ascii="仿宋" w:hAnsi="仿宋" w:cs="仿宋"/>
                <w:color w:val="000000"/>
                <w:sz w:val="24"/>
                <w:szCs w:val="24"/>
              </w:rPr>
              <w:t>对openstack云平台的Keystone 服务、Glance服务、Nova 服务、 Neutron 服务、Dashboad服务、Cinder服务、Swift服务、Heat服务、Ceph服务、Ceilometer和报警Alarm服务等相关组件的使用与运维，通过命令及编写shell脚本对云平台的各项资源进行运维和管理。</w:t>
            </w:r>
            <w:bookmarkEnd w:id="15"/>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jc w:val="center"/>
        </w:trPr>
        <w:tc>
          <w:tcPr>
            <w:tcW w:w="776" w:type="pct"/>
            <w:vMerge w:val="continue"/>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1563" w:type="pct"/>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6" w:name="_Toc14594"/>
            <w:r>
              <w:rPr>
                <w:rFonts w:hint="eastAsia" w:ascii="仿宋" w:hAnsi="仿宋" w:cs="仿宋"/>
                <w:color w:val="000000"/>
                <w:sz w:val="24"/>
                <w:szCs w:val="24"/>
              </w:rPr>
              <w:t>任务4 OpenStack云平台运维开发</w:t>
            </w:r>
            <w:bookmarkEnd w:id="16"/>
          </w:p>
        </w:tc>
        <w:tc>
          <w:tcPr>
            <w:tcW w:w="2265"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7" w:name="_Toc31807"/>
            <w:r>
              <w:rPr>
                <w:rFonts w:hint="eastAsia" w:ascii="仿宋" w:hAnsi="仿宋" w:cs="仿宋"/>
                <w:color w:val="000000"/>
                <w:sz w:val="24"/>
                <w:szCs w:val="24"/>
              </w:rPr>
              <w:t>编写shell脚本或者Python 代码调用OpenStack API接口对Openstack云平台资源进行管理和运维，使用自动化运维工具Ansible对服务器或虚拟机进行批量部署和管理。</w:t>
            </w:r>
            <w:bookmarkEnd w:id="17"/>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776" w:type="pct"/>
            <w:vMerge w:val="restar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8" w:name="_Toc25484"/>
            <w:r>
              <w:rPr>
                <w:rFonts w:hint="eastAsia" w:ascii="仿宋" w:hAnsi="仿宋" w:cs="仿宋"/>
                <w:color w:val="000000"/>
                <w:sz w:val="24"/>
                <w:szCs w:val="24"/>
              </w:rPr>
              <w:t>容器云平台</w:t>
            </w:r>
            <w:bookmarkEnd w:id="18"/>
          </w:p>
        </w:tc>
        <w:tc>
          <w:tcPr>
            <w:tcW w:w="1563"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19" w:name="_Toc2188"/>
            <w:r>
              <w:rPr>
                <w:rFonts w:hint="eastAsia" w:ascii="仿宋" w:hAnsi="仿宋" w:cs="仿宋"/>
                <w:color w:val="000000"/>
                <w:sz w:val="24"/>
                <w:szCs w:val="24"/>
              </w:rPr>
              <w:t>任务1 容器基本环境配置</w:t>
            </w:r>
            <w:bookmarkEnd w:id="19"/>
          </w:p>
        </w:tc>
        <w:tc>
          <w:tcPr>
            <w:tcW w:w="2265"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20" w:name="_Toc32516"/>
            <w:r>
              <w:rPr>
                <w:rFonts w:hint="eastAsia" w:ascii="仿宋" w:hAnsi="仿宋" w:cs="仿宋"/>
                <w:color w:val="000000"/>
                <w:sz w:val="24"/>
                <w:szCs w:val="24"/>
              </w:rPr>
              <w:t>DockerCE的安装与配置，Docker compose的安装、配置与使用，私有仓库搭建、配置、管理和使用，Docker镜像管理及容器管理运维。</w:t>
            </w:r>
            <w:bookmarkEnd w:id="20"/>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21" w:name="_Toc18596"/>
            <w:r>
              <w:rPr>
                <w:rFonts w:hint="eastAsia" w:ascii="仿宋" w:hAnsi="仿宋" w:cs="仿宋"/>
                <w:color w:val="000000"/>
                <w:sz w:val="24"/>
                <w:szCs w:val="24"/>
              </w:rPr>
              <w:t>5</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6" w:hRule="atLeast"/>
          <w:jc w:val="center"/>
        </w:trPr>
        <w:tc>
          <w:tcPr>
            <w:tcW w:w="776" w:type="pct"/>
            <w:vMerge w:val="continue"/>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1563"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任务2 容器应用系统部署</w:t>
            </w:r>
          </w:p>
        </w:tc>
        <w:tc>
          <w:tcPr>
            <w:tcW w:w="2265"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22" w:name="_Toc3169"/>
            <w:r>
              <w:rPr>
                <w:rFonts w:hint="eastAsia" w:ascii="仿宋" w:hAnsi="仿宋" w:cs="仿宋"/>
                <w:color w:val="000000"/>
                <w:sz w:val="24"/>
                <w:szCs w:val="24"/>
              </w:rPr>
              <w:t>使用容器实现镜像或容器系统打包，微服务系统搭建，消息中间件系统搭建，负载均衡应用，数据库访问与管理，容器编排，访问控制等。</w:t>
            </w:r>
            <w:bookmarkEnd w:id="22"/>
          </w:p>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通过dockerfile制作容器镜像并使用容器编排工具进行容器编排并启动相应的应用。</w:t>
            </w:r>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76" w:type="pct"/>
            <w:vMerge w:val="continue"/>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1563"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23" w:name="_Toc10305"/>
            <w:r>
              <w:rPr>
                <w:rFonts w:hint="eastAsia" w:ascii="仿宋" w:hAnsi="仿宋" w:cs="仿宋"/>
                <w:color w:val="000000"/>
                <w:sz w:val="24"/>
                <w:szCs w:val="24"/>
              </w:rPr>
              <w:t>任务3 构建持续集成案例</w:t>
            </w:r>
            <w:bookmarkEnd w:id="23"/>
          </w:p>
        </w:tc>
        <w:tc>
          <w:tcPr>
            <w:tcW w:w="2265"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24" w:name="_Toc1160"/>
            <w:r>
              <w:rPr>
                <w:rFonts w:hint="eastAsia" w:ascii="仿宋" w:hAnsi="仿宋" w:cs="仿宋"/>
                <w:color w:val="000000"/>
                <w:sz w:val="24"/>
                <w:szCs w:val="24"/>
              </w:rPr>
              <w:t>实现容器持续集成工具安装，典型工具链搭建，项目持续集成环境部署。</w:t>
            </w:r>
            <w:bookmarkEnd w:id="24"/>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76" w:type="pct"/>
            <w:vMerge w:val="continue"/>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1563"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25" w:name="_Toc28776"/>
            <w:r>
              <w:rPr>
                <w:rFonts w:hint="eastAsia" w:ascii="仿宋" w:hAnsi="仿宋" w:cs="仿宋"/>
                <w:color w:val="000000"/>
                <w:sz w:val="24"/>
                <w:szCs w:val="24"/>
              </w:rPr>
              <w:t>任务4 Kubernetes容器云平台部署与运维</w:t>
            </w:r>
            <w:bookmarkEnd w:id="25"/>
          </w:p>
        </w:tc>
        <w:tc>
          <w:tcPr>
            <w:tcW w:w="2265"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Kubernetes集群的安装、配置、管理与运维，基于Kubernetes集群应用部署及容器编排。</w:t>
            </w:r>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76"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bookmarkStart w:id="26" w:name="_Toc14686"/>
            <w:r>
              <w:rPr>
                <w:rFonts w:hint="eastAsia" w:ascii="仿宋" w:hAnsi="仿宋" w:cs="仿宋"/>
                <w:color w:val="000000"/>
                <w:sz w:val="24"/>
                <w:szCs w:val="24"/>
              </w:rPr>
              <w:t>总分</w:t>
            </w:r>
            <w:bookmarkEnd w:id="26"/>
          </w:p>
        </w:tc>
        <w:tc>
          <w:tcPr>
            <w:tcW w:w="1563"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2265"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p>
        </w:tc>
        <w:tc>
          <w:tcPr>
            <w:tcW w:w="394" w:type="pct"/>
            <w:vAlign w:val="center"/>
          </w:tcPr>
          <w:p>
            <w:pPr>
              <w:shd w:val="solid" w:color="FFFFFF" w:fill="auto"/>
              <w:autoSpaceDN w:val="0"/>
              <w:adjustRightInd w:val="0"/>
              <w:snapToGrid w:val="0"/>
              <w:ind w:firstLine="0" w:firstLineChars="0"/>
              <w:jc w:val="center"/>
              <w:rPr>
                <w:rFonts w:ascii="仿宋" w:hAnsi="仿宋" w:cs="仿宋"/>
                <w:color w:val="000000"/>
                <w:sz w:val="24"/>
                <w:szCs w:val="24"/>
              </w:rPr>
            </w:pPr>
            <w:r>
              <w:rPr>
                <w:rFonts w:hint="eastAsia" w:ascii="仿宋" w:hAnsi="仿宋" w:cs="仿宋"/>
                <w:color w:val="000000"/>
                <w:sz w:val="24"/>
                <w:szCs w:val="24"/>
              </w:rPr>
              <w:t>100</w:t>
            </w:r>
          </w:p>
        </w:tc>
      </w:tr>
    </w:tbl>
    <w:p>
      <w:pPr>
        <w:widowControl/>
        <w:ind w:firstLine="562"/>
        <w:jc w:val="left"/>
        <w:outlineLvl w:val="1"/>
        <w:rPr>
          <w:rFonts w:ascii="仿宋" w:hAnsi="仿宋" w:cs="仿宋"/>
          <w:b/>
          <w:color w:val="000000"/>
          <w:kern w:val="0"/>
          <w:szCs w:val="28"/>
          <w:lang w:bidi="ar"/>
        </w:rPr>
      </w:pPr>
      <w:bookmarkStart w:id="27" w:name="_Toc19630"/>
    </w:p>
    <w:p>
      <w:pPr>
        <w:ind w:firstLine="562"/>
        <w:rPr>
          <w:b/>
          <w:bCs/>
        </w:rPr>
      </w:pPr>
      <w:r>
        <w:rPr>
          <w:rFonts w:hint="eastAsia"/>
          <w:b/>
          <w:bCs/>
        </w:rPr>
        <w:t>（二）评分方法</w:t>
      </w:r>
      <w:bookmarkEnd w:id="27"/>
      <w:r>
        <w:rPr>
          <w:rFonts w:hint="eastAsia"/>
          <w:b/>
          <w:bCs/>
        </w:rPr>
        <w:t xml:space="preserve"> </w:t>
      </w:r>
    </w:p>
    <w:p>
      <w:pPr>
        <w:ind w:firstLine="560"/>
        <w:rPr>
          <w:rFonts w:ascii="仿宋" w:hAnsi="仿宋" w:cs="仿宋"/>
          <w:kern w:val="0"/>
          <w:szCs w:val="28"/>
        </w:rPr>
      </w:pPr>
      <w:r>
        <w:rPr>
          <w:rFonts w:hint="eastAsia" w:ascii="仿宋" w:hAnsi="仿宋" w:cs="仿宋"/>
          <w:kern w:val="0"/>
          <w:szCs w:val="28"/>
        </w:rPr>
        <w:t>1.本赛项采用竞赛系统统一评分。</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竞赛系统评分：由竞赛系统自动评分，每位参赛选手拥有一个账号和密码，竞赛结束前保存成果并提交，由竞赛系统统一评分。</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2.赛项最终得分按百分制计分。赛项排名按选手最终得分由高到低排定，排名不并列。若选手得分相同，裁判组依次按照私有云平台、容器云平台两模块的得分高低决定名次；若还相同，由裁判长现场召开裁判会议决定名次顺序。</w:t>
      </w:r>
    </w:p>
    <w:p>
      <w:pPr>
        <w:widowControl/>
        <w:ind w:firstLine="560"/>
        <w:jc w:val="left"/>
        <w:rPr>
          <w:rFonts w:ascii="仿宋" w:hAnsi="仿宋" w:cs="仿宋"/>
          <w:kern w:val="0"/>
          <w:szCs w:val="28"/>
        </w:rPr>
      </w:pPr>
      <w:r>
        <w:rPr>
          <w:rFonts w:hint="eastAsia" w:ascii="仿宋" w:hAnsi="仿宋" w:cs="仿宋"/>
          <w:color w:val="000000"/>
          <w:kern w:val="0"/>
          <w:szCs w:val="28"/>
          <w:lang w:bidi="ar"/>
        </w:rPr>
        <w:t>3.比赛成绩复核无误后，经裁判长、监督员等审核签字后确定。若有异议，经过规定程序仲裁后，按照仲裁结果公布比赛成绩。</w:t>
      </w:r>
    </w:p>
    <w:p>
      <w:pPr>
        <w:ind w:firstLine="562"/>
        <w:rPr>
          <w:rFonts w:ascii="仿宋" w:hAnsi="仿宋" w:cs="仿宋"/>
          <w:b/>
          <w:color w:val="000000"/>
          <w:szCs w:val="28"/>
        </w:rPr>
      </w:pPr>
      <w:r>
        <w:rPr>
          <w:rFonts w:hint="eastAsia" w:ascii="仿宋" w:hAnsi="仿宋" w:cs="仿宋"/>
          <w:b/>
          <w:color w:val="000000"/>
          <w:szCs w:val="28"/>
        </w:rPr>
        <w:t>十一、申诉与仲裁</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1.浙江省职业院校技能大赛设仲裁工作委员会，赛点设仲裁工作组,组长由大赛组委会办公室指派，组员为赛项裁判长和赛点执委会主任。</w:t>
      </w:r>
    </w:p>
    <w:p>
      <w:pPr>
        <w:widowControl/>
        <w:ind w:firstLine="560"/>
        <w:jc w:val="left"/>
        <w:rPr>
          <w:rFonts w:ascii="仿宋" w:hAnsi="仿宋" w:cs="仿宋"/>
          <w:color w:val="000000"/>
          <w:kern w:val="0"/>
          <w:szCs w:val="28"/>
          <w:highlight w:val="none"/>
          <w:lang w:bidi="ar"/>
        </w:rPr>
      </w:pPr>
      <w:r>
        <w:rPr>
          <w:rFonts w:hint="eastAsia" w:ascii="仿宋" w:hAnsi="仿宋" w:cs="仿宋"/>
          <w:color w:val="000000"/>
          <w:kern w:val="0"/>
          <w:szCs w:val="28"/>
          <w:lang w:bidi="ar"/>
        </w:rPr>
        <w:t>2.参赛队对赛事过程、工作人员工作若有疑异,在事实清楚,证据充分的前提下可由参赛队领队以书面形式向赛点仲裁组提出申诉。报告应对申</w:t>
      </w:r>
      <w:r>
        <w:rPr>
          <w:rFonts w:hint="eastAsia" w:ascii="仿宋" w:hAnsi="仿宋" w:cs="仿宋"/>
          <w:color w:val="000000"/>
          <w:kern w:val="0"/>
          <w:szCs w:val="28"/>
          <w:highlight w:val="none"/>
          <w:lang w:bidi="ar"/>
        </w:rPr>
        <w:t>诉事件的现象、发生时间、涉及人员、申诉依据等进行充分、实事求是的叙述。非书面申诉不予受理。</w:t>
      </w:r>
    </w:p>
    <w:p>
      <w:pPr>
        <w:widowControl/>
        <w:ind w:firstLine="560"/>
        <w:jc w:val="left"/>
        <w:rPr>
          <w:rFonts w:ascii="仿宋" w:hAnsi="仿宋" w:cs="仿宋"/>
          <w:color w:val="000000"/>
          <w:kern w:val="0"/>
          <w:szCs w:val="28"/>
          <w:highlight w:val="none"/>
          <w:lang w:bidi="ar"/>
        </w:rPr>
      </w:pPr>
      <w:r>
        <w:rPr>
          <w:rFonts w:hint="eastAsia" w:ascii="仿宋" w:hAnsi="仿宋" w:cs="仿宋"/>
          <w:color w:val="000000"/>
          <w:kern w:val="0"/>
          <w:szCs w:val="28"/>
          <w:highlight w:val="none"/>
          <w:lang w:bidi="ar"/>
        </w:rPr>
        <w:t>3.提出申诉应在赛项比赛结束后2小时内向赛点仲裁组提出。超过时效不予受理。提出申诉后申诉人及相关涉及人员不得离开赛点，否则视为自行放弃申诉。</w:t>
      </w:r>
    </w:p>
    <w:p>
      <w:pPr>
        <w:widowControl/>
        <w:ind w:firstLine="560"/>
        <w:jc w:val="left"/>
        <w:rPr>
          <w:rFonts w:ascii="仿宋" w:hAnsi="仿宋" w:cs="仿宋"/>
          <w:color w:val="000000"/>
          <w:kern w:val="0"/>
          <w:szCs w:val="28"/>
          <w:highlight w:val="none"/>
          <w:lang w:bidi="ar"/>
        </w:rPr>
      </w:pPr>
      <w:r>
        <w:rPr>
          <w:rFonts w:hint="eastAsia" w:ascii="仿宋" w:hAnsi="仿宋" w:cs="仿宋"/>
          <w:color w:val="000000"/>
          <w:kern w:val="0"/>
          <w:szCs w:val="28"/>
          <w:highlight w:val="none"/>
          <w:lang w:bidi="ar"/>
        </w:rPr>
        <w:t>4.赛点仲裁工作组在接到申诉报告后的2小时内组织复议，并及时将复议结果以书面形式告知申诉方。</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highlight w:val="none"/>
          <w:lang w:bidi="ar"/>
        </w:rPr>
        <w:t>5.对赛点仲裁组复议结果不服的，可由代表队所在院校校级领导向大赛仲裁委员会提出申诉。大赛仲裁委员会的仲裁</w:t>
      </w:r>
      <w:r>
        <w:rPr>
          <w:rFonts w:hint="eastAsia" w:ascii="仿宋" w:hAnsi="仿宋" w:cs="仿宋"/>
          <w:color w:val="000000"/>
          <w:kern w:val="0"/>
          <w:szCs w:val="28"/>
          <w:lang w:bidi="ar"/>
        </w:rPr>
        <w:t>结果为最终结果。</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6.申诉方不得以任何理由拒绝接收仲裁结果；不得以任何理由采取过激行为扰乱赛场秩序；仲裁结果由申诉人签收，不能代收；如在约定时间和地点申诉人离开，视为撤诉。</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7.申诉方可随时提出放弃申诉。</w:t>
      </w:r>
    </w:p>
    <w:p>
      <w:pPr>
        <w:ind w:firstLine="562"/>
        <w:rPr>
          <w:rFonts w:ascii="仿宋" w:hAnsi="仿宋" w:cs="仿宋"/>
          <w:b/>
          <w:color w:val="000000"/>
          <w:szCs w:val="28"/>
        </w:rPr>
      </w:pPr>
    </w:p>
    <w:p>
      <w:pPr>
        <w:pStyle w:val="2"/>
        <w:rPr>
          <w:rFonts w:ascii="仿宋" w:hAnsi="仿宋" w:cs="仿宋"/>
          <w:b/>
          <w:color w:val="000000"/>
          <w:szCs w:val="28"/>
        </w:rPr>
      </w:pPr>
    </w:p>
    <w:p>
      <w:pPr>
        <w:pStyle w:val="2"/>
        <w:rPr>
          <w:rFonts w:ascii="仿宋" w:hAnsi="仿宋" w:cs="仿宋"/>
          <w:b/>
          <w:color w:val="000000"/>
          <w:szCs w:val="28"/>
        </w:rPr>
      </w:pPr>
    </w:p>
    <w:p>
      <w:pPr>
        <w:ind w:firstLine="562"/>
        <w:rPr>
          <w:rFonts w:ascii="仿宋" w:hAnsi="仿宋" w:cs="仿宋"/>
          <w:b/>
          <w:color w:val="000000"/>
          <w:szCs w:val="28"/>
        </w:rPr>
      </w:pPr>
      <w:r>
        <w:rPr>
          <w:rFonts w:hint="eastAsia" w:ascii="仿宋" w:hAnsi="仿宋" w:cs="仿宋"/>
          <w:b/>
          <w:color w:val="000000"/>
          <w:szCs w:val="28"/>
        </w:rPr>
        <w:t>十二、其他</w:t>
      </w:r>
    </w:p>
    <w:p>
      <w:pPr>
        <w:widowControl/>
        <w:ind w:firstLine="562"/>
        <w:jc w:val="left"/>
        <w:rPr>
          <w:rFonts w:ascii="仿宋" w:hAnsi="仿宋" w:cs="仿宋"/>
          <w:color w:val="000000"/>
          <w:kern w:val="0"/>
          <w:szCs w:val="28"/>
          <w:lang w:bidi="ar"/>
        </w:rPr>
      </w:pPr>
      <w:r>
        <w:rPr>
          <w:rFonts w:hint="eastAsia" w:ascii="仿宋" w:hAnsi="仿宋" w:cs="仿宋"/>
          <w:b/>
          <w:color w:val="000000"/>
          <w:kern w:val="0"/>
          <w:szCs w:val="28"/>
          <w:lang w:bidi="ar"/>
        </w:rPr>
        <w:t>（一）指导老师须知</w:t>
      </w:r>
      <w:r>
        <w:rPr>
          <w:rFonts w:hint="eastAsia" w:ascii="仿宋" w:hAnsi="仿宋" w:cs="仿宋"/>
          <w:color w:val="000000"/>
          <w:kern w:val="0"/>
          <w:szCs w:val="28"/>
          <w:lang w:bidi="ar"/>
        </w:rPr>
        <w:t xml:space="preserve">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各指导老师要发扬良好道德风尚，听从指挥，服从裁判，不弄虚作假。指导老师经报名、审核后确定，一经确定不得更换。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2. 对申诉的仲裁结果，指导老师应带头服从和执行，还应说服选手服从和执行。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指导老师应认真研究和掌握本赛项比赛的技术规则和赛场要求，指导选手做好赛前的一切准备工作。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4. 指导老师应在赛后做好技术总结和工作总结。 </w:t>
      </w:r>
    </w:p>
    <w:p>
      <w:pPr>
        <w:widowControl/>
        <w:ind w:firstLine="281" w:firstLineChars="100"/>
        <w:jc w:val="left"/>
        <w:rPr>
          <w:rFonts w:ascii="仿宋" w:hAnsi="仿宋" w:cs="仿宋"/>
          <w:color w:val="000000"/>
          <w:szCs w:val="28"/>
        </w:rPr>
      </w:pPr>
      <w:r>
        <w:rPr>
          <w:rFonts w:hint="eastAsia" w:ascii="仿宋" w:hAnsi="仿宋" w:cs="仿宋"/>
          <w:b/>
          <w:color w:val="000000"/>
          <w:kern w:val="0"/>
          <w:szCs w:val="28"/>
          <w:lang w:bidi="ar"/>
        </w:rPr>
        <w:t xml:space="preserve">（二）参赛选手须知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参赛选手在报名获得审核确认后，原则上不再更换，如在筹备过程中，选手因故不能参赛，所在学校需出具书面说明并按相关规定补充人员并接受审核；竞赛开始后，不得更换参赛选手。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2. 各参赛选手须准时参加赛前举行的两次加密抽签过程。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各参赛选手要注意饮食卫生，防止食物中毒。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4. 各参赛选手要发扬良好道德风尚，听从指挥，服从裁判，不弄虚作假。</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5. 各参赛选手在比赛期间，应保证自身的安全，防止交通事故和其它意外事故的发生。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6. 参赛选手应遵守比赛规则，尊重裁判和赛场工作人员，自觉遵守赛场秩序，服从裁判的管理。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7. 参赛选手应佩戴参赛证，带齐身份证、注册的学生证。在赛场的着装，应符合职业要求。在赛场的表现，应体现自己良好的职业习惯和职业素养。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8. 进入赛场前须将手机等通讯工具交赛场相关人员保管，不能带入赛场。未经检验的工具、电子通讯与储存器件和其他不允许带入赛场物品，一律不能进入赛场。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9. 比赛过程中不准互相交谈，不得大声喧哗；不得有影响其他选手比赛的行为，不准有任何作弊行为。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10. 参赛选手在比赛的过程中，应遵守安全操作规程，文明的操作。通电调试设备时，应经现场裁判许可，在技术人员监护下进行。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11. 需要更换设备时，应向现场裁判报告，并在赛场记录表上填写更换设备的规格型号与原因，核实从报告到更换完成的时间并签工位号确认，以便后续补时之用。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12. 连接电路、检查设备不能带电操作；通电调试设备前，应先检查电路并记录，确定正确无误后，才能在裁判或技术人员批准后通电。调试设备过程中，因电路问题或操作不当，引起跳闸或熔体熔断，要酌情扣分。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13. 安装调试过程，工具使用、操作方法要符合规范。因使用不当，造成设备、器材、工具损坏、工伤事故或影响他人比赛，要酌情扣分。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14. 比赛过程中需要去洗手间，应报告现场裁判，由裁判或赛场工作人员陪同离开赛场。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15. 完成比赛任务后，需要在比赛结束前离开赛场，需向现场裁判示意，在赛场记录上填写离场时间并签工位号确认后，方可离开赛场到指定区域等候评分，离开赛场后不可再次进入。未完成比赛任务，因病或其他原因需要终止比赛离开赛场，需经裁判长同意，在赛场记录表的相应栏目填写离场原因、离场时间并签工位号确认后，方可离开；离开后，不能再次进入赛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16. 裁判长发出停止比赛的指令，选手（包括需要补时的选手）应立即停止操作进入通道，在现场裁判的指挥下离开赛场到达指定的区域等候评分。需要补时的选手在现场裁判的安排下进行补时，待补时结束后应立即停止操作。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17. 如对裁判员的执裁有异议，可在比赛结束后 2 小时内向赛项仲裁组以书面形式提出申述。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18. 遇突发事件，立即报告裁判和赛场工作人员，按赛场裁判和工作人员的指令行动。 </w:t>
      </w:r>
    </w:p>
    <w:p>
      <w:pPr>
        <w:widowControl/>
        <w:ind w:firstLine="281" w:firstLineChars="100"/>
        <w:jc w:val="left"/>
        <w:rPr>
          <w:rFonts w:ascii="仿宋" w:hAnsi="仿宋" w:cs="仿宋"/>
          <w:color w:val="000000"/>
          <w:szCs w:val="28"/>
        </w:rPr>
      </w:pPr>
      <w:r>
        <w:rPr>
          <w:rFonts w:hint="eastAsia" w:ascii="仿宋" w:hAnsi="仿宋" w:cs="仿宋"/>
          <w:b/>
          <w:color w:val="000000"/>
          <w:kern w:val="0"/>
          <w:szCs w:val="28"/>
          <w:lang w:bidi="ar"/>
        </w:rPr>
        <w:t xml:space="preserve">（三）工作人员须知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工作人员必须服从赛项组委会统一指挥，佩戴工作人员标识，认真履行职责，做好服务赛场、服务选手的工作。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2. 工作人员按照分工准时上岗，不得擅自离岗，应认真履行各自的工作职责，保证竞赛工作的顺利进行。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工作人员应在规定的区域内工作，未经许可，不得擅自进入竞赛场地。如需进场，需经过裁判长同意，核准证件，有裁判跟随入场。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4. 如遇突发事件，须及时向裁判长报告，同时做好疏导工作，避免重大事故发生，确保竞赛圆满成功。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5. 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 </w:t>
      </w:r>
    </w:p>
    <w:p>
      <w:pPr>
        <w:widowControl/>
        <w:ind w:firstLine="281" w:firstLineChars="100"/>
        <w:jc w:val="left"/>
        <w:rPr>
          <w:rFonts w:ascii="仿宋" w:hAnsi="仿宋" w:cs="仿宋"/>
          <w:color w:val="000000"/>
          <w:szCs w:val="28"/>
        </w:rPr>
      </w:pPr>
      <w:r>
        <w:rPr>
          <w:rFonts w:hint="eastAsia" w:ascii="仿宋" w:hAnsi="仿宋" w:cs="仿宋"/>
          <w:b/>
          <w:color w:val="000000"/>
          <w:kern w:val="0"/>
          <w:szCs w:val="28"/>
          <w:lang w:bidi="ar"/>
        </w:rPr>
        <w:t xml:space="preserve">（四）裁判员须知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1. 裁判员执裁前应参加培训，了解比赛任务及其要求、考核的知识与技能，认真学习评分标准，理解评分表各评价内容和标准。不参加培训的裁判员，取消执裁资格。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2. 裁判员执裁期间，统一佩戴裁判员标识，举止文明礼貌，接受参赛人员的监督。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3. 遵守执裁纪律，履行裁判职责，执行竞赛规则，信守裁判承诺书的各项承诺。服从赛项专家组和裁判长的领导。按照分工开展工作，始终坚守工作岗位，不得擅自离岗。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4. 裁判员有维护赛场秩序、执行赛场纪律的责任，也有保证参赛选手安全的责任。时刻注意参赛选手操作安全的问题，制止违反安全操作的行为，防止安全事故的出现。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5. 裁判员不得有任何影响参赛选手比赛的行为，不得向参赛选手暗示或解答与竞赛有关的问题，不得指导、帮助选手完成比赛任务。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6. 公平公正的对待每一位参赛选手，不能有亲近与疏远、热情与冷淡差别。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7. 选手有检查设备、更换器件或补充耗材的要求时应予以满足。检查设备或更换设备由赛场技术人员进行，更换后设备的应检测无误后继续投入比赛。赛场技术人员须在赛场记录表上记录需要更换的原因、要求更换到更换完毕的用时、并要求参赛选手签工位号确认。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8. 赛场中选手出现的所有问题，如：违反赛场纪律、违反安全操作规程、提前离开赛场等，都应在赛场记录表上记录，并要求选手签工位号确认。 </w:t>
      </w:r>
    </w:p>
    <w:p>
      <w:pPr>
        <w:widowControl/>
        <w:ind w:firstLine="560"/>
        <w:jc w:val="left"/>
        <w:rPr>
          <w:rFonts w:ascii="仿宋" w:hAnsi="仿宋" w:cs="仿宋"/>
          <w:color w:val="000000"/>
          <w:kern w:val="0"/>
          <w:szCs w:val="28"/>
          <w:lang w:bidi="ar"/>
        </w:rPr>
      </w:pPr>
      <w:r>
        <w:rPr>
          <w:rFonts w:hint="eastAsia" w:ascii="仿宋" w:hAnsi="仿宋" w:cs="仿宋"/>
          <w:color w:val="000000"/>
          <w:kern w:val="0"/>
          <w:szCs w:val="28"/>
          <w:lang w:bidi="ar"/>
        </w:rPr>
        <w:t xml:space="preserve">9. 严格执行竞赛项目评分标准，做到公平、公正、真实、准确，杜绝随意打分；对评分表的理解和宽严尺度把握有分歧时，请示裁判长解决。严禁利用工作之便，弄虚作假、徇私舞弊。 </w:t>
      </w:r>
    </w:p>
    <w:p>
      <w:pPr>
        <w:ind w:firstLine="560"/>
      </w:pPr>
      <w:r>
        <w:rPr>
          <w:rFonts w:hint="eastAsia" w:ascii="仿宋" w:hAnsi="仿宋" w:cs="仿宋"/>
          <w:color w:val="000000"/>
          <w:kern w:val="0"/>
          <w:szCs w:val="28"/>
          <w:lang w:bidi="ar"/>
        </w:rPr>
        <w:t>10. 竞赛期间，因裁判人员工作不负责任，造成竞赛程序无法继续进行或评判结果不真实的情况，由赛项组委会视情节轻重，给予通报批评或停止裁判资格，并通知其所在单位做出相应处理。</w:t>
      </w:r>
    </w:p>
    <w:p>
      <w:pPr>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3"/>
        <w:ind w:firstLine="643"/>
        <w:rPr>
          <w:rFonts w:ascii="仿宋_GB2312" w:hAnsi="仿宋" w:eastAsia="仿宋_GB2312"/>
          <w:color w:val="000000" w:themeColor="text1"/>
          <w:szCs w:val="32"/>
          <w14:textFill>
            <w14:solidFill>
              <w14:schemeClr w14:val="tx1"/>
            </w14:solidFill>
          </w14:textFill>
        </w:rPr>
      </w:pPr>
      <w:r>
        <w:rPr>
          <w:rFonts w:hint="eastAsia" w:ascii="仿宋_GB2312" w:hAnsi="仿宋" w:eastAsia="仿宋_GB2312"/>
          <w:color w:val="000000" w:themeColor="text1"/>
          <w:szCs w:val="32"/>
          <w14:textFill>
            <w14:solidFill>
              <w14:schemeClr w14:val="tx1"/>
            </w14:solidFill>
          </w14:textFill>
        </w:rPr>
        <w:t>样卷</w:t>
      </w:r>
    </w:p>
    <w:p>
      <w:pPr>
        <w:pStyle w:val="9"/>
        <w:ind w:left="560" w:firstLine="562"/>
        <w:jc w:val="center"/>
        <w:outlineLvl w:val="0"/>
        <w:rPr>
          <w:rFonts w:ascii="仿宋" w:hAnsi="仿宋" w:eastAsia="仿宋" w:cs="仿宋"/>
          <w:b/>
          <w:bCs/>
          <w:color w:val="000000"/>
          <w:sz w:val="28"/>
          <w:szCs w:val="28"/>
          <w:lang w:bidi="ar"/>
        </w:rPr>
      </w:pPr>
      <w:r>
        <w:rPr>
          <w:rFonts w:hint="eastAsia" w:ascii="仿宋" w:hAnsi="仿宋" w:eastAsia="仿宋" w:cs="仿宋"/>
          <w:b/>
          <w:bCs/>
          <w:color w:val="000000"/>
          <w:sz w:val="28"/>
          <w:szCs w:val="28"/>
          <w:lang w:bidi="ar"/>
        </w:rPr>
        <w:t>2022年浙江省职业院校技能大赛高职组云计算竞赛赛卷（样卷）</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某企业拟使用OpenStack搭建一个企业云平台，以实现资源池化弹性管理、企业应用集中管理、统一安全认证和授权等管理。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系统架构如图1所示，IP地址规划如表1所示。</w:t>
      </w:r>
    </w:p>
    <w:p>
      <w:pPr>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drawing>
          <wp:inline distT="0" distB="0" distL="114300" distR="114300">
            <wp:extent cx="5258435" cy="2806700"/>
            <wp:effectExtent l="0" t="0" r="18415" b="12700"/>
            <wp:docPr id="2" name="图片 1" descr="8e64444688dba780ac81f26a7207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8e64444688dba780ac81f26a72075c0"/>
                    <pic:cNvPicPr>
                      <a:picLocks noChangeAspect="1"/>
                    </pic:cNvPicPr>
                  </pic:nvPicPr>
                  <pic:blipFill>
                    <a:blip r:embed="rId12"/>
                    <a:stretch>
                      <a:fillRect/>
                    </a:stretch>
                  </pic:blipFill>
                  <pic:spPr>
                    <a:xfrm>
                      <a:off x="0" y="0"/>
                      <a:ext cx="5258435" cy="2806700"/>
                    </a:xfrm>
                    <a:prstGeom prst="rect">
                      <a:avLst/>
                    </a:prstGeom>
                    <a:noFill/>
                    <a:ln>
                      <a:noFill/>
                    </a:ln>
                  </pic:spPr>
                </pic:pic>
              </a:graphicData>
            </a:graphic>
          </wp:inline>
        </w:drawing>
      </w:r>
    </w:p>
    <w:p>
      <w:pPr>
        <w:widowControl/>
        <w:ind w:firstLine="480"/>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图1系统架构图</w:t>
      </w:r>
    </w:p>
    <w:p>
      <w:pPr>
        <w:widowControl/>
        <w:ind w:firstLine="480"/>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表1  IP地址规划</w:t>
      </w:r>
    </w:p>
    <w:tbl>
      <w:tblPr>
        <w:tblStyle w:val="10"/>
        <w:tblW w:w="81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2"/>
        <w:gridCol w:w="1106"/>
        <w:gridCol w:w="1641"/>
        <w:gridCol w:w="2323"/>
        <w:gridCol w:w="1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设备名称</w:t>
            </w:r>
          </w:p>
        </w:tc>
        <w:tc>
          <w:tcPr>
            <w:tcW w:w="1106" w:type="dxa"/>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主机名</w:t>
            </w: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接口</w:t>
            </w:r>
          </w:p>
        </w:tc>
        <w:tc>
          <w:tcPr>
            <w:tcW w:w="2323" w:type="dxa"/>
            <w:tcBorders>
              <w:left w:val="single" w:color="auto" w:sz="4" w:space="0"/>
            </w:tcBorders>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IP地址</w:t>
            </w:r>
          </w:p>
        </w:tc>
        <w:tc>
          <w:tcPr>
            <w:tcW w:w="1636" w:type="dxa"/>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restart"/>
            <w:vAlign w:val="center"/>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云服务器1</w:t>
            </w:r>
          </w:p>
        </w:tc>
        <w:tc>
          <w:tcPr>
            <w:tcW w:w="1106" w:type="dxa"/>
            <w:vMerge w:val="restart"/>
            <w:vAlign w:val="center"/>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Controller</w:t>
            </w: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eth0</w:t>
            </w:r>
          </w:p>
        </w:tc>
        <w:tc>
          <w:tcPr>
            <w:tcW w:w="2323" w:type="dxa"/>
            <w:tcBorders>
              <w:left w:val="single" w:color="auto" w:sz="4" w:space="0"/>
            </w:tcBorders>
            <w:vAlign w:val="center"/>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192.168.x.10/24</w:t>
            </w:r>
          </w:p>
        </w:tc>
        <w:tc>
          <w:tcPr>
            <w:tcW w:w="1636" w:type="dxa"/>
            <w:vAlign w:val="center"/>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continue"/>
            <w:vAlign w:val="center"/>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p>
        </w:tc>
        <w:tc>
          <w:tcPr>
            <w:tcW w:w="1106" w:type="dxa"/>
            <w:vMerge w:val="continue"/>
            <w:vAlign w:val="center"/>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eth1</w:t>
            </w:r>
          </w:p>
        </w:tc>
        <w:tc>
          <w:tcPr>
            <w:tcW w:w="2323" w:type="dxa"/>
            <w:tcBorders>
              <w:left w:val="single" w:color="auto" w:sz="4" w:space="0"/>
            </w:tcBorders>
            <w:vAlign w:val="center"/>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192.168.y.10/24</w:t>
            </w:r>
          </w:p>
        </w:tc>
        <w:tc>
          <w:tcPr>
            <w:tcW w:w="1636" w:type="dxa"/>
            <w:vAlign w:val="center"/>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restart"/>
            <w:vAlign w:val="center"/>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云服务器2</w:t>
            </w:r>
          </w:p>
        </w:tc>
        <w:tc>
          <w:tcPr>
            <w:tcW w:w="1106" w:type="dxa"/>
            <w:vMerge w:val="restart"/>
            <w:vAlign w:val="center"/>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Compute</w:t>
            </w: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eth0</w:t>
            </w:r>
          </w:p>
        </w:tc>
        <w:tc>
          <w:tcPr>
            <w:tcW w:w="2323" w:type="dxa"/>
            <w:tcBorders>
              <w:left w:val="single" w:color="auto" w:sz="4" w:space="0"/>
            </w:tcBorders>
            <w:vAlign w:val="center"/>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192.168.x.20/24</w:t>
            </w:r>
          </w:p>
        </w:tc>
        <w:tc>
          <w:tcPr>
            <w:tcW w:w="1636" w:type="dxa"/>
            <w:vAlign w:val="center"/>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continue"/>
            <w:vAlign w:val="center"/>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p>
        </w:tc>
        <w:tc>
          <w:tcPr>
            <w:tcW w:w="1106" w:type="dxa"/>
            <w:vMerge w:val="continue"/>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eth1</w:t>
            </w:r>
          </w:p>
        </w:tc>
        <w:tc>
          <w:tcPr>
            <w:tcW w:w="2323" w:type="dxa"/>
            <w:tcBorders>
              <w:left w:val="single" w:color="auto" w:sz="4" w:space="0"/>
            </w:tcBorders>
            <w:vAlign w:val="center"/>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192.168.y.20/24</w:t>
            </w:r>
          </w:p>
        </w:tc>
        <w:tc>
          <w:tcPr>
            <w:tcW w:w="1636" w:type="dxa"/>
            <w:vAlign w:val="center"/>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PC-1</w:t>
            </w:r>
          </w:p>
        </w:tc>
        <w:tc>
          <w:tcPr>
            <w:tcW w:w="1106" w:type="dxa"/>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本地连接</w:t>
            </w:r>
          </w:p>
        </w:tc>
        <w:tc>
          <w:tcPr>
            <w:tcW w:w="2323" w:type="dxa"/>
            <w:tcBorders>
              <w:left w:val="single" w:color="auto" w:sz="4" w:space="0"/>
            </w:tcBorders>
            <w:vAlign w:val="center"/>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172.24.z.2/24</w:t>
            </w:r>
          </w:p>
        </w:tc>
        <w:tc>
          <w:tcPr>
            <w:tcW w:w="1636" w:type="dxa"/>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restart"/>
            <w:vAlign w:val="center"/>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交换机</w:t>
            </w:r>
          </w:p>
        </w:tc>
        <w:tc>
          <w:tcPr>
            <w:tcW w:w="1106" w:type="dxa"/>
            <w:vAlign w:val="center"/>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1</w:t>
            </w:r>
          </w:p>
        </w:tc>
        <w:tc>
          <w:tcPr>
            <w:tcW w:w="2323" w:type="dxa"/>
            <w:tcBorders>
              <w:left w:val="single" w:color="auto" w:sz="4" w:space="0"/>
            </w:tcBorders>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172.24.z.1/24</w:t>
            </w:r>
          </w:p>
        </w:tc>
        <w:tc>
          <w:tcPr>
            <w:tcW w:w="1636" w:type="dxa"/>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PC机使用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continue"/>
            <w:vAlign w:val="center"/>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p>
        </w:tc>
        <w:tc>
          <w:tcPr>
            <w:tcW w:w="1106" w:type="dxa"/>
            <w:vAlign w:val="center"/>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10</w:t>
            </w:r>
          </w:p>
        </w:tc>
        <w:tc>
          <w:tcPr>
            <w:tcW w:w="2323" w:type="dxa"/>
            <w:tcBorders>
              <w:left w:val="single" w:color="auto" w:sz="4" w:space="0"/>
            </w:tcBorders>
            <w:vAlign w:val="center"/>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192.168.x.1/24</w:t>
            </w:r>
          </w:p>
        </w:tc>
        <w:tc>
          <w:tcPr>
            <w:tcW w:w="1636" w:type="dxa"/>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服务器使用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continue"/>
          </w:tcPr>
          <w:p>
            <w:pPr>
              <w:widowControl/>
              <w:ind w:firstLine="31" w:firstLineChars="13"/>
              <w:jc w:val="center"/>
              <w:rPr>
                <w:rFonts w:ascii="仿宋" w:hAnsi="仿宋" w:cs="仿宋"/>
                <w:color w:val="000000" w:themeColor="text1"/>
                <w:kern w:val="0"/>
                <w:sz w:val="24"/>
                <w:szCs w:val="24"/>
                <w:lang w:bidi="ar"/>
                <w14:textFill>
                  <w14:solidFill>
                    <w14:schemeClr w14:val="tx1"/>
                  </w14:solidFill>
                </w14:textFill>
              </w:rPr>
            </w:pPr>
          </w:p>
        </w:tc>
        <w:tc>
          <w:tcPr>
            <w:tcW w:w="1106" w:type="dxa"/>
          </w:tcPr>
          <w:p>
            <w:pPr>
              <w:widowControl/>
              <w:ind w:firstLine="16" w:firstLineChars="7"/>
              <w:jc w:val="center"/>
              <w:rPr>
                <w:rFonts w:ascii="仿宋" w:hAnsi="仿宋" w:cs="仿宋"/>
                <w:color w:val="000000" w:themeColor="text1"/>
                <w:kern w:val="0"/>
                <w:sz w:val="24"/>
                <w:szCs w:val="24"/>
                <w:lang w:bidi="ar"/>
                <w14:textFill>
                  <w14:solidFill>
                    <w14:schemeClr w14:val="tx1"/>
                  </w14:solidFill>
                </w14:textFill>
              </w:rPr>
            </w:pPr>
          </w:p>
        </w:tc>
        <w:tc>
          <w:tcPr>
            <w:tcW w:w="1641" w:type="dxa"/>
            <w:tcBorders>
              <w:right w:val="single" w:color="auto" w:sz="4" w:space="0"/>
            </w:tcBorders>
          </w:tcPr>
          <w:p>
            <w:pPr>
              <w:widowControl/>
              <w:ind w:firstLine="2" w:firstLineChars="1"/>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Vlan 20</w:t>
            </w:r>
          </w:p>
        </w:tc>
        <w:tc>
          <w:tcPr>
            <w:tcW w:w="2323" w:type="dxa"/>
            <w:tcBorders>
              <w:left w:val="single" w:color="auto" w:sz="4" w:space="0"/>
            </w:tcBorders>
            <w:vAlign w:val="center"/>
          </w:tcPr>
          <w:p>
            <w:pPr>
              <w:widowControl/>
              <w:ind w:firstLine="64" w:firstLineChars="27"/>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192.168.y.1/24</w:t>
            </w:r>
          </w:p>
        </w:tc>
        <w:tc>
          <w:tcPr>
            <w:tcW w:w="1636" w:type="dxa"/>
          </w:tcPr>
          <w:p>
            <w:pPr>
              <w:widowControl/>
              <w:ind w:firstLine="45" w:firstLineChars="19"/>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虚拟机使用</w:t>
            </w:r>
          </w:p>
        </w:tc>
      </w:tr>
    </w:tbl>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说明：</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1．表中的 x，y 为vlan号，每人有两个vlan号；z为工位号；</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 xml:space="preserve">2．根据图表给出的信息，检查硬件连线及网络设备配置，确保网络连接正常； </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3．考试所需要的资源包与附件均在考位信息表中给出；</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4．竞赛过程中，为确保服务器的安全，请自行修改服务器密码；在考试系统提交信息时，请确认自己的IP地址，用户名和密码。</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p>
    <w:p>
      <w:pPr>
        <w:widowControl/>
        <w:ind w:firstLine="480"/>
        <w:jc w:val="left"/>
        <w:outlineLvl w:val="0"/>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【任务1】基础运维任务[5分]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【题目1】基础环境配置</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根据表1中的IP地址规划，设置各服务器节点的IP地址，确保网络正常通信，然后按以下要求配置服务器：</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（1）设置控制节点主机名为controller，设置计算节点主机名为compute；</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（2）修改hosts文件将IP地址映射为主机名；</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（3）关闭控制节点的防火墙，设置开机不启动；</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（4）设置SELinux为Permissive 模式。</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【题目2】镜像挂载</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将提供的CentOS-7-x86_64-DVD-1804.iso和chinaskill_cloud_iaas.iso光盘镜像上传到controller节点/root目录下，然后在/opt目录下分别创建centos目录和openstack目录，并将镜像文件CentOS-7-x86_64-DVD-1804.iso挂载到centos目录下，将镜像文件chinaskill_cloud_iaas.iso挂载到openstack目录下。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【题目3】Yum源配置</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上利用/opt/centos目录中的软件包安装vsftpd服务，设置开机自启动，并使用ftp提供yum仓库服务（ftp共享的目录为/opt），分别设置controller节点和compute节点的yum源文件ftp.repo，其中ftp服务器地址使用主机名形式。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【题目4】时间同步配置</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上部署chrony服务器，允许其他节点同步时间，启动服务并设置为开机启动；在compute节点上指定controller节点为上游NTP服务器，重启服务并设为开机启动。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【题目5】计算节点分区</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在compute节点上利用空白分区划分2个100G分区。完成后提交计算节点的用户名、密码和IP地址到答题框。</w:t>
      </w:r>
    </w:p>
    <w:p>
      <w:pPr>
        <w:widowControl/>
        <w:ind w:firstLine="480"/>
        <w:jc w:val="left"/>
        <w:outlineLvl w:val="0"/>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【任务2】OpenStack搭建任务[15分]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【题目1】基础安装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在控制节点和计算节点上分别安装iaas-xiandian软件包，根据表2配置两个节点脚本文件中的基本变量（配置脚本文件为/etc/xiandian/openrc.sh）。</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表2 云平台配置信息</w:t>
      </w:r>
    </w:p>
    <w:tbl>
      <w:tblPr>
        <w:tblStyle w:val="10"/>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2841"/>
        <w:gridCol w:w="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81" w:type="dxa"/>
            <w:shd w:val="clear" w:color="auto" w:fill="D8D8D8"/>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服务名称</w:t>
            </w:r>
          </w:p>
        </w:tc>
        <w:tc>
          <w:tcPr>
            <w:tcW w:w="2841" w:type="dxa"/>
            <w:shd w:val="clear" w:color="auto" w:fill="D8D8D8"/>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变量</w:t>
            </w:r>
          </w:p>
        </w:tc>
        <w:tc>
          <w:tcPr>
            <w:tcW w:w="3358" w:type="dxa"/>
            <w:shd w:val="clear" w:color="auto" w:fill="D8D8D8"/>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参数/密码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restart"/>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Mysql</w:t>
            </w: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root</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Keystone</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Glance</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Nova</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Neutron</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Heat</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Zun</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restart"/>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Keystone</w:t>
            </w: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DOMAIN_NAME</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demo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Admin</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Rabbit</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Glance</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Nova</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Neutron</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Heat</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Zun</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restart"/>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Neutron</w:t>
            </w: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Metadata</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81"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284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External Network</w:t>
            </w:r>
          </w:p>
        </w:tc>
        <w:tc>
          <w:tcPr>
            <w:tcW w:w="3358"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enp9s0（外网卡名）</w:t>
            </w:r>
          </w:p>
        </w:tc>
      </w:tr>
    </w:tbl>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【题目2】数据库安装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在controller节点上使用iaas-install-mysql.sh 脚本安装Mariadb、Memcached、etcd服务。完成后提交控制节点的用户名、密码和IP地址到答题框。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【题目3】Keystone服务安装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在controller节点上使用iaas-install-keystone.sh 脚本安装Keystone服务。完成后提交控制节点的用户名、密码和IP地址到答题框。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【题目4】Glance安装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在controller节点上使用iaas-install-glance.sh脚本安装glance 服务。完成后提交控制节点的用户名、密码和IP地址到答题框。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【题目5】Nova安装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在controller节点和compute节点上分别使用iaas-install-nova -controller.sh脚本、iaas-install-nova-compute.sh脚本安装Nova 服务。完成后提交控制节点的用户名、密码和IP地址到答题框。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【题目6】Neutron安装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在controller节点和compute节点上分别修改iaas-install-neutron-controller.sh脚本、iaas-install-neutron-compute.sh脚本分别安装 Neutron 服务，执行完脚本后，网络默认是vlan模式。完成后提交控制节点的用户名、密码和IP地址到答题框。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【题目7】Doshboard安装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在controller节点上使用iaas-install-dashboad.sh脚本安装dashboad服务。完成后提交控制节点的用户名、密码和IP地址到答题框。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【题目8】Cinder安装</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在控制节点和计算节点上分别使用iaas-install-cinder-controller.sh.sh脚本和iaas-install-cinder-compute.sh安装cinder服务。完成后提交控制节点的用户名、密码和IP地址到答题框。</w:t>
      </w:r>
    </w:p>
    <w:p>
      <w:pPr>
        <w:pStyle w:val="9"/>
        <w:ind w:left="560" w:firstLine="560"/>
        <w:rPr>
          <w:color w:val="000000" w:themeColor="text1"/>
          <w14:textFill>
            <w14:solidFill>
              <w14:schemeClr w14:val="tx1"/>
            </w14:solidFill>
          </w14:textFill>
        </w:rPr>
      </w:pPr>
    </w:p>
    <w:p>
      <w:pPr>
        <w:widowControl/>
        <w:ind w:firstLine="480"/>
        <w:jc w:val="left"/>
        <w:outlineLvl w:val="0"/>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【任务3】OpenStack运维任务[15分]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【题目1】镜像管理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在openstack私有云平台上，基于cirros-0.3.4-x86_64-disk.img镜像，使用命令创建一个名为cirros的镜像。完成后提交控制节点的用户名、密码和IP地址到答题框。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【题目2】实例类型管理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在openstack私有云平台上，使用命令创建一个名为Fmin，ID为1，内存为1024 MB，磁盘为10 GB，vcpu数量为1的云主机类型。完成后提交控制节点的用户名、密码和IP地址到答题框。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【题目3】网络管理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在openstack私有云平台上，创建云主机网络extnet，子网extsubnet，虚拟机网段为192.168.y.0/24（其中y是vlan号），网关为192.168.y.1。完成后提交控制节点的用户名、密码和IP地址到答题框。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【题目4】云主机管理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在openstack私有云平台上，基于“cirros”镜像、flavor使用“Fmin”、extnet的网络，创建一台虚拟机VM1，启动VM1，并使用PC机能远程登录到VM1。提交控制节点的用户名、密码和IP地址到答题框。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【题目5】Cinder管理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在openstack私有云平台上，创建一个名为“lvm”的卷类型，创建一块卷设备，名字为block、类型为lvm的40G云硬盘，并附加到虚拟机VM1上。完成后提交控制节点IP地址、用户名和密码到答题框。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【题目6】Raid管理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OpenStack私有云平台，创建一台云主机，并创建一个40G大小的cinder块存储，将块存储连接到云主机，然后在云主机上对云硬盘进行操作。要求分出4个大小为5G的分区，使用这4个分区，创建名为/dev/md5、raid级别为5的磁盘阵列加一个热备盘（使用最后一个分区作为热备盘）。完成后提交云主机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【题目7】数据库主从管理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使用OpenStack私有云平台，创建两台云主机vm1和vm2，在这两台云主机上分别安装数据库服务，并配置成主从数据库，vm1节点为主库，vm2节点为从库（数据库密码设置为000000）。完成后提交数据库从节点vm2节点的用户名、密码和IP地址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【题目8】云平台安全策略提升</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使用OpenStack私有云平台，通过提供的相关软件包，安装必要组件，将私有云平台的访问策略从http提升至https。完成后提交控制节点的用户名、密码和IP地址到答题框。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p>
    <w:p>
      <w:pPr>
        <w:widowControl/>
        <w:ind w:firstLine="480"/>
        <w:jc w:val="left"/>
        <w:outlineLvl w:val="0"/>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【任务4】OpenStack运维开发任务[15分]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本任务只公布考试范围，不公布赛题</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此任务包含2-4个子任务，内容涉及编写Python脚本调用OpenStack API对Openstack云平台进行管理和运维。使用自动化运维工具ansible对云主机进行批量系统配置、批量程序部署、批量运行命令等运维操作。</w:t>
      </w:r>
    </w:p>
    <w:p>
      <w:pPr>
        <w:pStyle w:val="9"/>
        <w:spacing w:line="360" w:lineRule="auto"/>
        <w:ind w:left="560" w:firstLine="480"/>
        <w:rPr>
          <w:rFonts w:ascii="Times New Roman" w:hAnsi="Times New Roman"/>
          <w:color w:val="000000" w:themeColor="text1"/>
          <w:sz w:val="24"/>
          <w:szCs w:val="24"/>
          <w14:textFill>
            <w14:solidFill>
              <w14:schemeClr w14:val="tx1"/>
            </w14:solidFill>
          </w14:textFill>
        </w:rPr>
      </w:pP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【任务5】Docker CE及私有仓库安装任务（5分）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【题目1】安装Docker CE和Docker Compose</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在master、node各节点中分别安装DockerCE和docker-compose。完成后提交master节点的用户名、密码和IP到答题框。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【题目2】安装私有仓库</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在master节点安装私有仓库，导入/opt/images目录下所有镜像，并推送到私有仓库。完成后提交master节点的用户名、密码和IP到答题框。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【题目3】容器编排</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在master节点上编写/root/wordpress/docker-compose.yaml文件，具体要求如下：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（1）容器名称：wordpress；镜像：wordpress:latest；端口映射：82:80；</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 xml:space="preserve">（2）容器名称：mysql；镜像：mysql:5.6； </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（3）MySQL root用户密码：123456；</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（4）创建数据库wordpress。</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完成后编排部署WordPress，并提交master节点的用户名、密码和IP到答题框。</w:t>
      </w:r>
    </w:p>
    <w:p>
      <w:pPr>
        <w:pStyle w:val="9"/>
        <w:ind w:left="560" w:firstLine="560"/>
        <w:rPr>
          <w:color w:val="000000" w:themeColor="text1"/>
          <w14:textFill>
            <w14:solidFill>
              <w14:schemeClr w14:val="tx1"/>
            </w14:solidFill>
          </w14:textFill>
        </w:rPr>
      </w:pP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【题目4】容器基础操作</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在master节点上停止并删除上述部署的wordpress容器。完成后提交master节点的用户名、密码和IP到答题框。</w:t>
      </w:r>
    </w:p>
    <w:p>
      <w:pPr>
        <w:pStyle w:val="9"/>
        <w:ind w:left="560" w:firstLine="480"/>
        <w:rPr>
          <w:color w:val="000000" w:themeColor="text1"/>
          <w:sz w:val="24"/>
          <w:szCs w:val="24"/>
          <w14:textFill>
            <w14:solidFill>
              <w14:schemeClr w14:val="tx1"/>
            </w14:solidFill>
          </w14:textFill>
        </w:rPr>
      </w:pPr>
    </w:p>
    <w:p>
      <w:pPr>
        <w:widowControl/>
        <w:ind w:firstLine="480"/>
        <w:jc w:val="left"/>
        <w:outlineLvl w:val="0"/>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【任务6】基于Docker容器的web应用系统部署[15分]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将该公司开发的基于微服务架构的web商城应用系统实现全容器化部署。商城应用系统架构图如下：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drawing>
          <wp:inline distT="0" distB="0" distL="0" distR="0">
            <wp:extent cx="5274310" cy="2964815"/>
            <wp:effectExtent l="0" t="0" r="2540" b="6985"/>
            <wp:docPr id="3" name="图片 3" descr="C:\Users\Administrator\Desktop\会议资料\图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会议资料\图2.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64815"/>
                    </a:xfrm>
                    <a:prstGeom prst="rect">
                      <a:avLst/>
                    </a:prstGeom>
                    <a:noFill/>
                    <a:ln>
                      <a:noFill/>
                    </a:ln>
                  </pic:spPr>
                </pic:pic>
              </a:graphicData>
            </a:graphic>
          </wp:inline>
        </w:drawing>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1746"/>
        <w:gridCol w:w="3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模块</w:t>
            </w:r>
          </w:p>
        </w:tc>
        <w:tc>
          <w:tcPr>
            <w:tcW w:w="1746"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使用技术</w:t>
            </w:r>
          </w:p>
        </w:tc>
        <w:tc>
          <w:tcPr>
            <w:tcW w:w="383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gpmall.sql</w:t>
            </w:r>
          </w:p>
        </w:tc>
        <w:tc>
          <w:tcPr>
            <w:tcW w:w="1746"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Mysql</w:t>
            </w:r>
          </w:p>
        </w:tc>
        <w:tc>
          <w:tcPr>
            <w:tcW w:w="383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网站的数据库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dist目录</w:t>
            </w:r>
          </w:p>
        </w:tc>
        <w:tc>
          <w:tcPr>
            <w:tcW w:w="1746"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Nginx</w:t>
            </w:r>
          </w:p>
        </w:tc>
        <w:tc>
          <w:tcPr>
            <w:tcW w:w="383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网站的前端项目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gpmall-shopping</w:t>
            </w:r>
          </w:p>
        </w:tc>
        <w:tc>
          <w:tcPr>
            <w:tcW w:w="1746" w:type="dxa"/>
            <w:vMerge w:val="restart"/>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web项目</w:t>
            </w:r>
          </w:p>
        </w:tc>
        <w:tc>
          <w:tcPr>
            <w:tcW w:w="383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8081端口，商品/购物车/首页渲染等交互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gpmall-user</w:t>
            </w:r>
          </w:p>
        </w:tc>
        <w:tc>
          <w:tcPr>
            <w:tcW w:w="1746"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383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8082端口，提供用户相关的交互，如登录、注册、个人中心等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user-provider</w:t>
            </w:r>
          </w:p>
        </w:tc>
        <w:tc>
          <w:tcPr>
            <w:tcW w:w="1746" w:type="dxa"/>
            <w:vMerge w:val="restart"/>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后端服务</w:t>
            </w:r>
          </w:p>
        </w:tc>
        <w:tc>
          <w:tcPr>
            <w:tcW w:w="383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提供用户相关服务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shopping-provider</w:t>
            </w:r>
          </w:p>
        </w:tc>
        <w:tc>
          <w:tcPr>
            <w:tcW w:w="1746" w:type="dxa"/>
            <w:vMerge w:val="continue"/>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p>
        </w:tc>
        <w:tc>
          <w:tcPr>
            <w:tcW w:w="3831" w:type="dxa"/>
            <w:vAlign w:val="center"/>
          </w:tcPr>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提供购物车、推荐商品、商品等服务</w:t>
            </w:r>
          </w:p>
        </w:tc>
      </w:tr>
    </w:tbl>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【题目1】容器化部署Redis</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在master节点上编写/root/redis/Dockerfile文件，基于提供的软件包gpmall-single.tar构建chinaskill-redis:v1.1镜像，具体要求如下：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（1）基础镜像：centos:centos7.5.1804；</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（2）作者：Chinaskill；</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（3）修改配置文件中的bind 127.0.0.1为bind 0.0.0.0；</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（4）设置Redis免密，并关闭保护模式；</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（5）开放端口：6379；</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（6）设置服务开机自启。</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完成后构建镜像，并提交master节点的用户名、密码和IP到答题框。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【题目2】容器化部署MariaDB</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在master节点上编写/root/mariadb/Dockerfile文件，基于提供的软件包gpmall-single.tar构建chinaskill-mariadb:v1.1镜像，具体要求如下：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（1）基础镜像：centos:centos7.5.1804；</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（2）作者：Chinaskill；</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（3）设置数据库密码：123456；</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（4）创建数据库gpmall并导入数据库文件gpmall.sql；</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（5）设置字符编码：UTF-8；</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（6）开放端口：3306；</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（7）设置服务开机自启。</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完成后构建镜像，并提交master节点的用户名、密码和IP到答题框。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【题目3】容器化部署Zookeeper</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在master节点上编写/root/zookeeper/Dockerfile文件，基于提供的软件包gpmall-single.tar构建chinaskill-zookeeper:v1.1镜像，具体要求如下：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（1）基础镜像：centos:centos7.5.1804；</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（2）作者：Chinaskill；</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（3）开放端口：2181；</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（4）设置服务开机自启。</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完成后构建镜像，使用构建的镜像运行容器myzookeeper，并提交master节点的用户名、密码和IP到答题框。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【题目4】容器化部署Kafka</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在master节点上编写/root/kafka/Dockerfile文件，基于提供的软件包gpmall-single.tar构建chinaskill-kafka:v1.1镜像，具体要求如下：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（1）基础镜像：centos:centos7.5.1804；</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（2）作者：Chinaskill；</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（3）开放端口：9092；</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（4）设置服务开机自启。</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完成后构建镜像，并提交master节点的用户名、密码和IP到答题框。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【题目5】容器化部署Nginx</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在master节点上编写/root/nginx/Dockerfile文件，基于提供的软件包gpmall-single.tar构建chinaskill-nginx:v1.1镜像，具体要求如下：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（1）基础镜像：centos:centos7.5.1804；</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（2）作者：Chinaskill；</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（3）编写/etc/nginx/conf.d/default.conf文件，配置反向代理，将80端口请求转发到8081、8082和8083；</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（4）将dist.tar解压并复制到/usr/share/nginx/html/目录下；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（5）开放端口：80、443、8081、8082、8083；</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（6）设置服务开机自启。</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完成后构建镜像，并提交master节点的用户名、密码和IP到答题框。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【题目6】编排部署GPMall商城</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在master节点上编写/root/chinaskillmall/docker-compose.yaml文件，具体要求如下：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（1）容器1名称：mysql；镜像：chinaskill-mariadb:v1.1；端口映射：3306:3306；</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（2）容器2名称：redis；镜像：chinaskill-redis:v1.1；端口映射：6379:6379；</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（3）容器3名称：kafka；镜像：chinaskill-kafka:v1.1；端口映射：9092:9092；</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（4）容器4名称：zookeeper；镜像：chinaskill-zookeeper:v1.1；端口映射：2181:2181；</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（5）容器5名称：nginx；镜像：chinaskill-nginx:v1.1；端口映射：80:80，443:443。</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完成后编排部署GPMall，并提交master节点的用户名、密码和IP到答题框。</w:t>
      </w:r>
    </w:p>
    <w:p>
      <w:pPr>
        <w:widowControl/>
        <w:ind w:firstLine="480"/>
        <w:jc w:val="left"/>
        <w:outlineLvl w:val="0"/>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【任务7】基于Kubernetes构建持续集成[15分]</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该公司决定采用GitLab +Jenkins来构建CICD环境，以缩短新功能开发上线周期，及时满足客户的需求，实现DevOps的部分流程，来减轻部署运维的负担，实现可视化容器生命周期管理、应用发布和版本迭代更新，请完成GitLab +Jenkins的CICD环境部署。</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【题目1】安装Jenkins环境</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在master节点上使用镜像jenkins/jenkins:2.262-centos部署Jenkins服务，具体要求如下：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（1）容器名称：jenkins；</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（2）端口映射：8080:80；</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（3）使用root身份生成容器；</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（4）离线安装Jenkins插件；</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（5）设置Jenkins用户：chinaskill；密码：000000；</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（6）配置权限“任何用户可以做任何事(没有任何限制)”。</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使用chinaskill用户登录Jenkins，完成后提交master节点的用户名、密码和IP到答题框。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【题目2】安装Gitlab环境</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在master节点上使用镜像gitlab/gitlab-ce:12.9.2-ce.0部署Gitlab服务，具体要求如下：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（1）容器名称：mygitlab；</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（2）端口映射：1022:22、81:80、443:443；</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（3）重启策略：always；</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（4）设置Gitlab用户：root；密码：00000000；</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（5）新建项目：ChinaskillProject；</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（6）将/opt/ChinaskillProject中的代码上传到ChinaskillProject项目中。</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【题目3】配置Jenkins连接Gitlab</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配置Jenkins连接Gitlab，具体要求如下：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（1）设置Outbound requests；</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（2）生成“Access Tokens”；</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（3）设置Jenkins取消对'/project' end-point进行身份验证；</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（4）测试Jenkins与Gitlab的连通性。</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【题目4】配置Jenkins连接maven</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配置Jenkins连接maven，具体要求如下：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（1）采用docker in docker的方式在Jenkins内安装maven；</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（2）在Jenkins中配置maven信息。</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完成后提交master节点的用户名、密码和IP到答题框。</w:t>
      </w:r>
    </w:p>
    <w:p>
      <w:pPr>
        <w:widowControl/>
        <w:ind w:firstLine="480"/>
        <w:jc w:val="left"/>
        <w:outlineLvl w:val="1"/>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【题目5】配置CI/CD</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配置CI/CD，具体要求如下：</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（1）新建一个流水线任务ChinaskillProject；</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（2）编写流水线脚本；</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（3）配置Webhook；</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（4）在Harbor中新建公开项目chinaskillproject。</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完成后提交master节点的用户名、密码和IP到答题框。</w:t>
      </w:r>
    </w:p>
    <w:p>
      <w:pPr>
        <w:pStyle w:val="9"/>
        <w:ind w:left="560" w:firstLine="560"/>
        <w:rPr>
          <w:color w:val="000000" w:themeColor="text1"/>
          <w14:textFill>
            <w14:solidFill>
              <w14:schemeClr w14:val="tx1"/>
            </w14:solidFill>
          </w14:textFill>
        </w:rPr>
      </w:pPr>
    </w:p>
    <w:p>
      <w:pPr>
        <w:widowControl/>
        <w:ind w:firstLine="480"/>
        <w:jc w:val="left"/>
        <w:outlineLvl w:val="0"/>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【任务8】Kubernetes容器云平台部署与运维[15分]·</w:t>
      </w:r>
      <w:bookmarkStart w:id="28" w:name="_GoBack"/>
      <w:bookmarkEnd w:id="28"/>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【适用平台】私有云</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本任务只公布考试范围，不公布赛题</w:t>
      </w:r>
    </w:p>
    <w:p>
      <w:pPr>
        <w:widowControl/>
        <w:ind w:firstLine="480"/>
        <w:jc w:val="left"/>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本任务内容为：Kubernetes集群环境搭建和运维、基于Kubernetes集群的应用系统部署与运维。</w:t>
      </w:r>
    </w:p>
    <w:p>
      <w:pPr>
        <w:pStyle w:val="9"/>
        <w:ind w:left="560" w:firstLine="560"/>
        <w:rPr>
          <w:color w:val="000000" w:themeColor="text1"/>
          <w14:textFill>
            <w14:solidFill>
              <w14:schemeClr w14:val="tx1"/>
            </w14:solidFill>
          </w14:textFill>
        </w:rPr>
      </w:pPr>
    </w:p>
    <w:p>
      <w:pPr>
        <w:ind w:firstLine="560"/>
      </w:pPr>
    </w:p>
    <w:p>
      <w:pPr>
        <w:pStyle w:val="2"/>
        <w:ind w:firstLine="0" w:firstLineChars="0"/>
      </w:pPr>
    </w:p>
    <w:p>
      <w:pPr>
        <w:pStyle w:val="2"/>
        <w:ind w:firstLine="560"/>
      </w:pPr>
    </w:p>
    <w:p>
      <w:pPr>
        <w:pStyle w:val="2"/>
        <w:ind w:firstLine="56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D226A8"/>
    <w:multiLevelType w:val="singleLevel"/>
    <w:tmpl w:val="73D226A8"/>
    <w:lvl w:ilvl="0" w:tentative="0">
      <w:start w:val="8"/>
      <w:numFmt w:val="chineseCounting"/>
      <w:suff w:val="nothing"/>
      <w:lvlText w:val="%1、"/>
      <w:lvlJc w:val="left"/>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mMTliN2Y0ZGFjODI5ZWU0Yjg0M2VmYjBhOWFkMjEifQ=="/>
  </w:docVars>
  <w:rsids>
    <w:rsidRoot w:val="001D1B67"/>
    <w:rsid w:val="001901A6"/>
    <w:rsid w:val="001D1B67"/>
    <w:rsid w:val="003D7096"/>
    <w:rsid w:val="008B4D46"/>
    <w:rsid w:val="008C4691"/>
    <w:rsid w:val="00AA6E51"/>
    <w:rsid w:val="05397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964" w:firstLineChars="200"/>
      <w:jc w:val="both"/>
    </w:pPr>
    <w:rPr>
      <w:rFonts w:ascii="Times New Roman" w:hAnsi="Times New Roman" w:eastAsia="仿宋" w:cs="Times New Roman"/>
      <w:kern w:val="2"/>
      <w:sz w:val="28"/>
      <w:szCs w:val="20"/>
      <w:lang w:val="en-US" w:eastAsia="zh-CN" w:bidi="ar-SA"/>
    </w:rPr>
  </w:style>
  <w:style w:type="paragraph" w:styleId="3">
    <w:name w:val="heading 2"/>
    <w:basedOn w:val="1"/>
    <w:next w:val="1"/>
    <w:link w:val="15"/>
    <w:unhideWhenUsed/>
    <w:qFormat/>
    <w:uiPriority w:val="0"/>
    <w:pPr>
      <w:keepNext/>
      <w:keepLines/>
      <w:spacing w:before="260" w:after="260" w:line="413" w:lineRule="auto"/>
      <w:ind w:firstLine="0" w:firstLineChars="0"/>
      <w:outlineLvl w:val="1"/>
    </w:pPr>
    <w:rPr>
      <w:rFonts w:ascii="Arial" w:hAnsi="Arial" w:eastAsia="黑体" w:cs="Calibri"/>
      <w:b/>
      <w:sz w:val="32"/>
      <w:szCs w:val="21"/>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Normal Indent"/>
    <w:basedOn w:val="1"/>
    <w:semiHidden/>
    <w:unhideWhenUsed/>
    <w:uiPriority w:val="99"/>
    <w:pPr>
      <w:ind w:firstLine="420"/>
    </w:pPr>
  </w:style>
  <w:style w:type="paragraph" w:styleId="4">
    <w:name w:val="annotation text"/>
    <w:basedOn w:val="1"/>
    <w:link w:val="12"/>
    <w:unhideWhenUsed/>
    <w:qFormat/>
    <w:uiPriority w:val="99"/>
    <w:pPr>
      <w:jc w:val="left"/>
    </w:pPr>
  </w:style>
  <w:style w:type="paragraph" w:styleId="5">
    <w:name w:val="Body Text Indent"/>
    <w:basedOn w:val="1"/>
    <w:link w:val="16"/>
    <w:semiHidden/>
    <w:unhideWhenUsed/>
    <w:uiPriority w:val="99"/>
    <w:pPr>
      <w:spacing w:after="120"/>
      <w:ind w:left="420" w:leftChars="200"/>
    </w:pPr>
  </w:style>
  <w:style w:type="paragraph" w:styleId="6">
    <w:name w:val="Balloon Text"/>
    <w:basedOn w:val="1"/>
    <w:link w:val="19"/>
    <w:semiHidden/>
    <w:unhideWhenUsed/>
    <w:uiPriority w:val="99"/>
    <w:pPr>
      <w:spacing w:line="240" w:lineRule="auto"/>
    </w:pPr>
    <w:rPr>
      <w:sz w:val="18"/>
      <w:szCs w:val="18"/>
    </w:rPr>
  </w:style>
  <w:style w:type="paragraph" w:styleId="7">
    <w:name w:val="footer"/>
    <w:basedOn w:val="1"/>
    <w:link w:val="21"/>
    <w:unhideWhenUsed/>
    <w:uiPriority w:val="99"/>
    <w:pPr>
      <w:tabs>
        <w:tab w:val="center" w:pos="4153"/>
        <w:tab w:val="right" w:pos="8306"/>
      </w:tabs>
      <w:snapToGrid w:val="0"/>
      <w:spacing w:line="240" w:lineRule="auto"/>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Body Text First Indent 2"/>
    <w:basedOn w:val="5"/>
    <w:link w:val="17"/>
    <w:unhideWhenUsed/>
    <w:qFormat/>
    <w:uiPriority w:val="99"/>
    <w:pPr>
      <w:spacing w:line="240" w:lineRule="auto"/>
      <w:ind w:firstLine="420" w:firstLineChars="0"/>
    </w:pPr>
    <w:rPr>
      <w:rFonts w:ascii="Calibri" w:hAnsi="Calibri" w:eastAsia="宋体" w:cs="Calibri"/>
      <w:kern w:val="0"/>
      <w:sz w:val="20"/>
    </w:rPr>
  </w:style>
  <w:style w:type="character" w:customStyle="1" w:styleId="12">
    <w:name w:val="批注文字 Char"/>
    <w:basedOn w:val="11"/>
    <w:link w:val="4"/>
    <w:uiPriority w:val="99"/>
    <w:rPr>
      <w:rFonts w:ascii="Times New Roman" w:hAnsi="Times New Roman" w:eastAsia="仿宋" w:cs="Times New Roman"/>
      <w:sz w:val="28"/>
      <w:szCs w:val="20"/>
    </w:rPr>
  </w:style>
  <w:style w:type="paragraph" w:customStyle="1" w:styleId="13">
    <w:name w:val="Char"/>
    <w:basedOn w:val="1"/>
    <w:uiPriority w:val="0"/>
    <w:pPr>
      <w:widowControl/>
      <w:spacing w:after="160" w:line="240" w:lineRule="exact"/>
      <w:jc w:val="left"/>
    </w:pPr>
    <w:rPr>
      <w:rFonts w:ascii="Arial" w:hAnsi="Arial" w:eastAsia="Times New Roman" w:cs="Verdana"/>
      <w:b/>
      <w:kern w:val="0"/>
      <w:sz w:val="24"/>
      <w:szCs w:val="24"/>
      <w:lang w:eastAsia="en-US"/>
    </w:rPr>
  </w:style>
  <w:style w:type="character" w:customStyle="1" w:styleId="14">
    <w:name w:val="content"/>
    <w:uiPriority w:val="0"/>
    <w:rPr>
      <w:rFonts w:cs="Times New Roman"/>
    </w:rPr>
  </w:style>
  <w:style w:type="character" w:customStyle="1" w:styleId="15">
    <w:name w:val="标题 2 Char"/>
    <w:basedOn w:val="11"/>
    <w:link w:val="3"/>
    <w:uiPriority w:val="0"/>
    <w:rPr>
      <w:rFonts w:ascii="Arial" w:hAnsi="Arial" w:eastAsia="黑体" w:cs="Calibri"/>
      <w:b/>
      <w:sz w:val="32"/>
      <w:szCs w:val="21"/>
    </w:rPr>
  </w:style>
  <w:style w:type="character" w:customStyle="1" w:styleId="16">
    <w:name w:val="正文文本缩进 Char"/>
    <w:basedOn w:val="11"/>
    <w:link w:val="5"/>
    <w:semiHidden/>
    <w:uiPriority w:val="99"/>
    <w:rPr>
      <w:rFonts w:ascii="Times New Roman" w:hAnsi="Times New Roman" w:eastAsia="仿宋" w:cs="Times New Roman"/>
      <w:sz w:val="28"/>
      <w:szCs w:val="20"/>
    </w:rPr>
  </w:style>
  <w:style w:type="character" w:customStyle="1" w:styleId="17">
    <w:name w:val="正文首行缩进 2 Char"/>
    <w:basedOn w:val="16"/>
    <w:link w:val="9"/>
    <w:uiPriority w:val="99"/>
    <w:rPr>
      <w:rFonts w:ascii="Calibri" w:hAnsi="Calibri" w:eastAsia="宋体" w:cs="Calibri"/>
      <w:kern w:val="0"/>
      <w:sz w:val="20"/>
      <w:szCs w:val="20"/>
    </w:rPr>
  </w:style>
  <w:style w:type="table" w:customStyle="1" w:styleId="18">
    <w:name w:val="网格型4"/>
    <w:basedOn w:val="10"/>
    <w:qFormat/>
    <w:uiPriority w:val="0"/>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批注框文本 Char"/>
    <w:basedOn w:val="11"/>
    <w:link w:val="6"/>
    <w:semiHidden/>
    <w:uiPriority w:val="99"/>
    <w:rPr>
      <w:rFonts w:ascii="Times New Roman" w:hAnsi="Times New Roman" w:eastAsia="仿宋" w:cs="Times New Roman"/>
      <w:sz w:val="18"/>
      <w:szCs w:val="18"/>
    </w:rPr>
  </w:style>
  <w:style w:type="character" w:customStyle="1" w:styleId="20">
    <w:name w:val="页眉 Char"/>
    <w:basedOn w:val="11"/>
    <w:link w:val="8"/>
    <w:uiPriority w:val="99"/>
    <w:rPr>
      <w:rFonts w:ascii="Times New Roman" w:hAnsi="Times New Roman" w:eastAsia="仿宋" w:cs="Times New Roman"/>
      <w:sz w:val="18"/>
      <w:szCs w:val="18"/>
    </w:rPr>
  </w:style>
  <w:style w:type="character" w:customStyle="1" w:styleId="21">
    <w:name w:val="页脚 Char"/>
    <w:basedOn w:val="11"/>
    <w:link w:val="7"/>
    <w:uiPriority w:val="99"/>
    <w:rPr>
      <w:rFonts w:ascii="Times New Roman" w:hAnsi="Times New Roman" w:eastAsia="仿宋" w:cs="Times New Roman"/>
      <w:sz w:val="18"/>
      <w:szCs w:val="18"/>
    </w:rPr>
  </w:style>
  <w:style w:type="paragraph" w:customStyle="1" w:styleId="22">
    <w:name w:val=" Char"/>
    <w:basedOn w:val="1"/>
    <w:uiPriority w:val="0"/>
    <w:pPr>
      <w:widowControl/>
      <w:spacing w:after="160" w:line="240" w:lineRule="exact"/>
      <w:jc w:val="left"/>
    </w:pPr>
    <w:rPr>
      <w:rFonts w:ascii="Arial" w:hAnsi="Arial" w:eastAsia="Times New Roman" w:cs="Verdana"/>
      <w:b/>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2.emf"/><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31</Pages>
  <Words>2682</Words>
  <Characters>15293</Characters>
  <Lines>127</Lines>
  <Paragraphs>35</Paragraphs>
  <TotalTime>23</TotalTime>
  <ScaleCrop>false</ScaleCrop>
  <LinksUpToDate>false</LinksUpToDate>
  <CharactersWithSpaces>17940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2022-06-26T02:40:00Z</dcterms:created>
  <dc:creator>Administrator</dc:creator>
  <cp:lastModifiedBy>Audia</cp:lastModifiedBy>
  <dcterms:modified xsi:type="dcterms:W3CDTF">2022-06-27T03:43:11Z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88D17923895C47E0BA83D8B4914989AA</vt:lpwstr>
  </property>
</Properties>
</file>