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B02DE">
      <w:pPr>
        <w:spacing w:before="216" w:line="226" w:lineRule="auto"/>
        <w:jc w:val="center"/>
        <w:rPr>
          <w:rFonts w:hint="eastAsia" w:ascii="黑体" w:hAnsi="黑体" w:eastAsia="黑体" w:cs="黑体"/>
          <w:sz w:val="31"/>
          <w:szCs w:val="31"/>
          <w:lang w:eastAsia="zh-CN"/>
        </w:rPr>
      </w:pPr>
      <w:bookmarkStart w:id="1" w:name="_GoBack"/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附表：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“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司法技术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”</w:t>
      </w:r>
      <w:r>
        <w:rPr>
          <w:rFonts w:ascii="黑体" w:hAnsi="黑体" w:eastAsia="黑体" w:cs="黑体"/>
          <w:spacing w:val="8"/>
          <w:sz w:val="31"/>
          <w:szCs w:val="31"/>
          <w:lang w:eastAsia="zh-CN"/>
        </w:rPr>
        <w:t>承办学校提供的设备和场地信息清单</w:t>
      </w:r>
    </w:p>
    <w:bookmarkEnd w:id="1"/>
    <w:p w14:paraId="7FB2A797">
      <w:pPr>
        <w:spacing w:line="136" w:lineRule="auto"/>
        <w:rPr>
          <w:sz w:val="2"/>
          <w:lang w:eastAsia="zh-CN"/>
        </w:rPr>
      </w:pPr>
    </w:p>
    <w:tbl>
      <w:tblPr>
        <w:tblStyle w:val="6"/>
        <w:tblW w:w="921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733"/>
        <w:gridCol w:w="1172"/>
        <w:gridCol w:w="1293"/>
        <w:gridCol w:w="2712"/>
        <w:gridCol w:w="1200"/>
        <w:gridCol w:w="1025"/>
      </w:tblGrid>
      <w:tr w14:paraId="4E32B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817" w:type="dxa"/>
            <w:gridSpan w:val="2"/>
            <w:vAlign w:val="center"/>
          </w:tcPr>
          <w:p w14:paraId="54BBF5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5" w:lineRule="auto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8"/>
                <w:szCs w:val="28"/>
              </w:rPr>
              <w:t>承办学校</w:t>
            </w:r>
          </w:p>
        </w:tc>
        <w:tc>
          <w:tcPr>
            <w:tcW w:w="7402" w:type="dxa"/>
            <w:gridSpan w:val="5"/>
            <w:vAlign w:val="center"/>
          </w:tcPr>
          <w:p w14:paraId="3C3CED3D">
            <w:pPr>
              <w:spacing w:line="276" w:lineRule="auto"/>
              <w:jc w:val="center"/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浙江警官职业学院</w:t>
            </w:r>
          </w:p>
        </w:tc>
      </w:tr>
      <w:tr w14:paraId="744C7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817" w:type="dxa"/>
            <w:gridSpan w:val="2"/>
            <w:vAlign w:val="center"/>
          </w:tcPr>
          <w:p w14:paraId="4ED978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8"/>
                <w:szCs w:val="28"/>
              </w:rPr>
              <w:t>所属赛道</w:t>
            </w:r>
          </w:p>
        </w:tc>
        <w:tc>
          <w:tcPr>
            <w:tcW w:w="2465" w:type="dxa"/>
            <w:gridSpan w:val="2"/>
            <w:vAlign w:val="center"/>
          </w:tcPr>
          <w:p w14:paraId="5D59DE5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公安与司法赛道</w:t>
            </w:r>
          </w:p>
        </w:tc>
        <w:tc>
          <w:tcPr>
            <w:tcW w:w="2712" w:type="dxa"/>
            <w:vAlign w:val="center"/>
          </w:tcPr>
          <w:p w14:paraId="4A88C4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963"/>
              <w:jc w:val="both"/>
              <w:textAlignment w:val="baseline"/>
              <w:rPr>
                <w:rFonts w:hint="eastAsia" w:ascii="FangSong_GB2312" w:hAnsi="FangSong_GB2312" w:eastAsia="FangSong_GB2312" w:cs="FangSong_GB2312"/>
                <w:b/>
                <w:bCs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  <w:t>组别</w:t>
            </w:r>
          </w:p>
        </w:tc>
        <w:tc>
          <w:tcPr>
            <w:tcW w:w="2225" w:type="dxa"/>
            <w:gridSpan w:val="2"/>
            <w:vAlign w:val="center"/>
          </w:tcPr>
          <w:p w14:paraId="40A3F4A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司法技术组</w:t>
            </w:r>
          </w:p>
        </w:tc>
      </w:tr>
      <w:tr w14:paraId="22517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1084" w:type="dxa"/>
            <w:vAlign w:val="center"/>
          </w:tcPr>
          <w:p w14:paraId="7346EF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3" w:lineRule="auto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7"/>
                <w:sz w:val="30"/>
                <w:szCs w:val="30"/>
              </w:rPr>
              <w:t>类别</w:t>
            </w:r>
          </w:p>
        </w:tc>
        <w:tc>
          <w:tcPr>
            <w:tcW w:w="1905" w:type="dxa"/>
            <w:gridSpan w:val="2"/>
            <w:vAlign w:val="center"/>
          </w:tcPr>
          <w:p w14:paraId="0FB9F8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5" w:lineRule="auto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b/>
                <w:bCs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  <w:t>名称</w:t>
            </w:r>
          </w:p>
        </w:tc>
        <w:tc>
          <w:tcPr>
            <w:tcW w:w="1293" w:type="dxa"/>
            <w:vAlign w:val="center"/>
          </w:tcPr>
          <w:p w14:paraId="4CD998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5" w:lineRule="auto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b/>
                <w:bCs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  <w:t>型号</w:t>
            </w:r>
          </w:p>
        </w:tc>
        <w:tc>
          <w:tcPr>
            <w:tcW w:w="2712" w:type="dxa"/>
            <w:vAlign w:val="center"/>
          </w:tcPr>
          <w:p w14:paraId="04907C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5" w:lineRule="auto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b/>
                <w:bCs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  <w:t>主要技术 参数</w:t>
            </w:r>
          </w:p>
        </w:tc>
        <w:tc>
          <w:tcPr>
            <w:tcW w:w="1200" w:type="dxa"/>
            <w:vAlign w:val="center"/>
          </w:tcPr>
          <w:p w14:paraId="323B7B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5" w:lineRule="auto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b/>
                <w:bCs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  <w:t>台套数</w:t>
            </w:r>
          </w:p>
        </w:tc>
        <w:tc>
          <w:tcPr>
            <w:tcW w:w="1025" w:type="dxa"/>
            <w:vAlign w:val="center"/>
          </w:tcPr>
          <w:p w14:paraId="76555C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5" w:lineRule="auto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b/>
                <w:bCs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  <w:t>备注</w:t>
            </w:r>
          </w:p>
        </w:tc>
      </w:tr>
      <w:tr w14:paraId="2A8F6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1084" w:type="dxa"/>
            <w:vMerge w:val="restart"/>
            <w:vAlign w:val="center"/>
          </w:tcPr>
          <w:p w14:paraId="1C199C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jc w:val="center"/>
              <w:textAlignment w:val="baseline"/>
              <w:rPr>
                <w:rFonts w:ascii="FangSong_GB2312" w:hAnsi="FangSong_GB2312" w:eastAsia="FangSong_GB2312" w:cs="FangSong_GB2312"/>
                <w:b/>
                <w:bCs/>
                <w:spacing w:val="-7"/>
                <w:sz w:val="30"/>
                <w:szCs w:val="3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30"/>
                <w:szCs w:val="30"/>
              </w:rPr>
              <w:t>硬件</w:t>
            </w:r>
          </w:p>
        </w:tc>
        <w:tc>
          <w:tcPr>
            <w:tcW w:w="1905" w:type="dxa"/>
            <w:gridSpan w:val="2"/>
            <w:vAlign w:val="center"/>
          </w:tcPr>
          <w:p w14:paraId="68F236F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  <w:t>PC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  <w:t>机</w:t>
            </w:r>
          </w:p>
        </w:tc>
        <w:tc>
          <w:tcPr>
            <w:tcW w:w="1293" w:type="dxa"/>
            <w:vAlign w:val="center"/>
          </w:tcPr>
          <w:p w14:paraId="0FFB011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12" w:type="dxa"/>
            <w:vAlign w:val="center"/>
          </w:tcPr>
          <w:p w14:paraId="4468515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  <w:t>CPU:I5 10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  <w:t>代及以上，主频</w:t>
            </w: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  <w:t>&gt;2.9GHZ;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  <w:t>硬盘</w:t>
            </w: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  <w:t>:SSD 1TB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  <w:t>及以上</w:t>
            </w: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  <w:t>;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  <w:t>内存</w:t>
            </w: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  <w:t>:16GB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  <w:t>及以上</w:t>
            </w:r>
          </w:p>
        </w:tc>
        <w:tc>
          <w:tcPr>
            <w:tcW w:w="1200" w:type="dxa"/>
            <w:vAlign w:val="center"/>
          </w:tcPr>
          <w:p w14:paraId="5B3B17A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  <w:t>3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  <w:t>台</w:t>
            </w: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  <w:t>/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  <w:t>组</w:t>
            </w:r>
          </w:p>
        </w:tc>
        <w:tc>
          <w:tcPr>
            <w:tcW w:w="1025" w:type="dxa"/>
            <w:vAlign w:val="center"/>
          </w:tcPr>
          <w:p w14:paraId="6F62E92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</w:p>
        </w:tc>
      </w:tr>
      <w:tr w14:paraId="6A1E4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1084" w:type="dxa"/>
            <w:vMerge w:val="continue"/>
            <w:vAlign w:val="center"/>
          </w:tcPr>
          <w:p w14:paraId="761808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jc w:val="center"/>
              <w:textAlignment w:val="baseline"/>
              <w:rPr>
                <w:rFonts w:ascii="FangSong_GB2312" w:hAnsi="FangSong_GB2312" w:eastAsia="FangSong_GB2312" w:cs="FangSong_GB2312"/>
                <w:b/>
                <w:bCs/>
                <w:spacing w:val="-7"/>
                <w:sz w:val="30"/>
                <w:szCs w:val="30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16DB8FE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展示大屏</w:t>
            </w:r>
          </w:p>
        </w:tc>
        <w:tc>
          <w:tcPr>
            <w:tcW w:w="1293" w:type="dxa"/>
            <w:vAlign w:val="center"/>
          </w:tcPr>
          <w:p w14:paraId="1D79785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12" w:type="dxa"/>
            <w:vAlign w:val="center"/>
          </w:tcPr>
          <w:p w14:paraId="690D574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default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65-100寸</w:t>
            </w:r>
          </w:p>
        </w:tc>
        <w:tc>
          <w:tcPr>
            <w:tcW w:w="1200" w:type="dxa"/>
            <w:vAlign w:val="center"/>
          </w:tcPr>
          <w:p w14:paraId="734E11A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1套/组</w:t>
            </w:r>
          </w:p>
        </w:tc>
        <w:tc>
          <w:tcPr>
            <w:tcW w:w="1025" w:type="dxa"/>
            <w:vAlign w:val="center"/>
          </w:tcPr>
          <w:p w14:paraId="14E8B24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</w:pPr>
          </w:p>
        </w:tc>
      </w:tr>
      <w:tr w14:paraId="69209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084" w:type="dxa"/>
            <w:vMerge w:val="restart"/>
            <w:vAlign w:val="center"/>
          </w:tcPr>
          <w:p w14:paraId="238C7E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jc w:val="center"/>
              <w:textAlignment w:val="baseline"/>
              <w:rPr>
                <w:rFonts w:ascii="FangSong_GB2312" w:hAnsi="FangSong_GB2312" w:eastAsia="FangSong_GB2312" w:cs="FangSong_GB2312"/>
                <w:b/>
                <w:bCs/>
                <w:spacing w:val="-14"/>
                <w:sz w:val="30"/>
                <w:szCs w:val="3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4"/>
                <w:sz w:val="30"/>
                <w:szCs w:val="30"/>
              </w:rPr>
              <w:t>软件</w:t>
            </w:r>
          </w:p>
        </w:tc>
        <w:tc>
          <w:tcPr>
            <w:tcW w:w="1905" w:type="dxa"/>
            <w:gridSpan w:val="2"/>
            <w:vAlign w:val="center"/>
          </w:tcPr>
          <w:p w14:paraId="2A08A82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操作系统</w:t>
            </w:r>
          </w:p>
        </w:tc>
        <w:tc>
          <w:tcPr>
            <w:tcW w:w="1293" w:type="dxa"/>
            <w:vAlign w:val="center"/>
          </w:tcPr>
          <w:p w14:paraId="2937008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Windows 10</w:t>
            </w:r>
          </w:p>
        </w:tc>
        <w:tc>
          <w:tcPr>
            <w:tcW w:w="2712" w:type="dxa"/>
            <w:vAlign w:val="center"/>
          </w:tcPr>
          <w:p w14:paraId="450E127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200" w:type="dxa"/>
            <w:vAlign w:val="center"/>
          </w:tcPr>
          <w:p w14:paraId="1FD39FE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3套/组</w:t>
            </w:r>
          </w:p>
        </w:tc>
        <w:tc>
          <w:tcPr>
            <w:tcW w:w="1025" w:type="dxa"/>
            <w:vAlign w:val="center"/>
          </w:tcPr>
          <w:p w14:paraId="7C8C16E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</w:p>
        </w:tc>
      </w:tr>
      <w:tr w14:paraId="32F2F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084" w:type="dxa"/>
            <w:vMerge w:val="continue"/>
            <w:vAlign w:val="center"/>
          </w:tcPr>
          <w:p w14:paraId="4A4FB6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jc w:val="center"/>
              <w:textAlignment w:val="baseline"/>
              <w:rPr>
                <w:rFonts w:ascii="FangSong_GB2312" w:hAnsi="FangSong_GB2312" w:eastAsia="FangSong_GB2312" w:cs="FangSong_GB2312"/>
                <w:b/>
                <w:bCs/>
                <w:spacing w:val="-14"/>
                <w:sz w:val="30"/>
                <w:szCs w:val="30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44B0DE1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文档编</w:t>
            </w:r>
          </w:p>
          <w:p w14:paraId="5D83952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辑工具</w:t>
            </w:r>
          </w:p>
        </w:tc>
        <w:tc>
          <w:tcPr>
            <w:tcW w:w="1293" w:type="dxa"/>
            <w:vAlign w:val="center"/>
          </w:tcPr>
          <w:p w14:paraId="2A383AB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  <w:t>Microsoft Office</w:t>
            </w:r>
          </w:p>
        </w:tc>
        <w:tc>
          <w:tcPr>
            <w:tcW w:w="2712" w:type="dxa"/>
            <w:vAlign w:val="center"/>
          </w:tcPr>
          <w:p w14:paraId="2C9EAE0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Microsoft</w:t>
            </w:r>
          </w:p>
          <w:p w14:paraId="4725A20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Office 2010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及</w:t>
            </w:r>
          </w:p>
          <w:p w14:paraId="4F0B643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以上版本</w:t>
            </w:r>
          </w:p>
        </w:tc>
        <w:tc>
          <w:tcPr>
            <w:tcW w:w="1200" w:type="dxa"/>
            <w:vAlign w:val="center"/>
          </w:tcPr>
          <w:p w14:paraId="11C1F58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3套/组</w:t>
            </w:r>
          </w:p>
        </w:tc>
        <w:tc>
          <w:tcPr>
            <w:tcW w:w="1025" w:type="dxa"/>
            <w:vAlign w:val="center"/>
          </w:tcPr>
          <w:p w14:paraId="491174F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</w:p>
        </w:tc>
      </w:tr>
      <w:tr w14:paraId="14A5C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084" w:type="dxa"/>
            <w:vMerge w:val="continue"/>
            <w:vAlign w:val="center"/>
          </w:tcPr>
          <w:p w14:paraId="2BEEF2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jc w:val="center"/>
              <w:textAlignment w:val="baseline"/>
              <w:rPr>
                <w:rFonts w:ascii="FangSong_GB2312" w:hAnsi="FangSong_GB2312" w:eastAsia="FangSong_GB2312" w:cs="FangSong_GB2312"/>
                <w:b/>
                <w:bCs/>
                <w:spacing w:val="-14"/>
                <w:sz w:val="30"/>
                <w:szCs w:val="30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7914DFC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  <w:t>虚拟机运行环境</w:t>
            </w:r>
          </w:p>
        </w:tc>
        <w:tc>
          <w:tcPr>
            <w:tcW w:w="1293" w:type="dxa"/>
            <w:vAlign w:val="center"/>
          </w:tcPr>
          <w:p w14:paraId="00A811B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  <w:t>VMware</w:t>
            </w:r>
          </w:p>
        </w:tc>
        <w:tc>
          <w:tcPr>
            <w:tcW w:w="2712" w:type="dxa"/>
            <w:vAlign w:val="center"/>
          </w:tcPr>
          <w:p w14:paraId="2D83962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VMware 15或以上版本</w:t>
            </w:r>
          </w:p>
        </w:tc>
        <w:tc>
          <w:tcPr>
            <w:tcW w:w="1200" w:type="dxa"/>
            <w:vAlign w:val="center"/>
          </w:tcPr>
          <w:p w14:paraId="0C475AF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3套/组</w:t>
            </w:r>
          </w:p>
        </w:tc>
        <w:tc>
          <w:tcPr>
            <w:tcW w:w="1025" w:type="dxa"/>
            <w:vAlign w:val="center"/>
          </w:tcPr>
          <w:p w14:paraId="6AE2B25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</w:p>
        </w:tc>
      </w:tr>
      <w:tr w14:paraId="27268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084" w:type="dxa"/>
            <w:vMerge w:val="continue"/>
            <w:vAlign w:val="center"/>
          </w:tcPr>
          <w:p w14:paraId="44B2BA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jc w:val="center"/>
              <w:textAlignment w:val="baseline"/>
              <w:rPr>
                <w:rFonts w:ascii="FangSong_GB2312" w:hAnsi="FangSong_GB2312" w:eastAsia="FangSong_GB2312" w:cs="FangSong_GB2312"/>
                <w:b/>
                <w:bCs/>
                <w:spacing w:val="-14"/>
                <w:sz w:val="30"/>
                <w:szCs w:val="30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48DD725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流程图工具</w:t>
            </w:r>
          </w:p>
        </w:tc>
        <w:tc>
          <w:tcPr>
            <w:tcW w:w="1293" w:type="dxa"/>
            <w:vAlign w:val="center"/>
          </w:tcPr>
          <w:p w14:paraId="40BEAC4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Visio</w:t>
            </w:r>
          </w:p>
        </w:tc>
        <w:tc>
          <w:tcPr>
            <w:tcW w:w="2712" w:type="dxa"/>
            <w:vAlign w:val="center"/>
          </w:tcPr>
          <w:p w14:paraId="3C3CB14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2010 及以上版</w:t>
            </w:r>
          </w:p>
        </w:tc>
        <w:tc>
          <w:tcPr>
            <w:tcW w:w="1200" w:type="dxa"/>
            <w:vAlign w:val="center"/>
          </w:tcPr>
          <w:p w14:paraId="5EAD251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3套/组</w:t>
            </w:r>
          </w:p>
        </w:tc>
        <w:tc>
          <w:tcPr>
            <w:tcW w:w="1025" w:type="dxa"/>
            <w:vAlign w:val="center"/>
          </w:tcPr>
          <w:p w14:paraId="3BCA510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</w:p>
        </w:tc>
      </w:tr>
      <w:tr w14:paraId="60C63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1084" w:type="dxa"/>
            <w:vMerge w:val="continue"/>
            <w:vAlign w:val="center"/>
          </w:tcPr>
          <w:p w14:paraId="7A8A7B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jc w:val="center"/>
              <w:textAlignment w:val="baseline"/>
              <w:rPr>
                <w:rFonts w:ascii="FangSong_GB2312" w:hAnsi="FangSong_GB2312" w:eastAsia="FangSong_GB2312" w:cs="FangSong_GB2312"/>
                <w:b/>
                <w:bCs/>
                <w:spacing w:val="-14"/>
                <w:sz w:val="30"/>
                <w:szCs w:val="30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0F1935A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修复工具</w:t>
            </w:r>
          </w:p>
        </w:tc>
        <w:tc>
          <w:tcPr>
            <w:tcW w:w="1293" w:type="dxa"/>
            <w:vAlign w:val="center"/>
          </w:tcPr>
          <w:p w14:paraId="47034B9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  <w:bookmarkStart w:id="0" w:name="OLE_LINK1"/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Winhex</w:t>
            </w:r>
            <w:bookmarkEnd w:id="0"/>
          </w:p>
        </w:tc>
        <w:tc>
          <w:tcPr>
            <w:tcW w:w="2712" w:type="dxa"/>
            <w:vAlign w:val="center"/>
          </w:tcPr>
          <w:p w14:paraId="708AC20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V16.0</w:t>
            </w:r>
          </w:p>
        </w:tc>
        <w:tc>
          <w:tcPr>
            <w:tcW w:w="1200" w:type="dxa"/>
            <w:vAlign w:val="center"/>
          </w:tcPr>
          <w:p w14:paraId="3EC758E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3套/组</w:t>
            </w:r>
          </w:p>
        </w:tc>
        <w:tc>
          <w:tcPr>
            <w:tcW w:w="1025" w:type="dxa"/>
            <w:vAlign w:val="center"/>
          </w:tcPr>
          <w:p w14:paraId="0C84C92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</w:p>
        </w:tc>
      </w:tr>
      <w:tr w14:paraId="75444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1084" w:type="dxa"/>
            <w:vMerge w:val="continue"/>
            <w:vAlign w:val="center"/>
          </w:tcPr>
          <w:p w14:paraId="0AB725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jc w:val="center"/>
              <w:textAlignment w:val="baseline"/>
              <w:rPr>
                <w:rFonts w:ascii="FangSong_GB2312" w:hAnsi="FangSong_GB2312" w:eastAsia="FangSong_GB2312" w:cs="FangSong_GB2312"/>
                <w:b/>
                <w:bCs/>
                <w:spacing w:val="-14"/>
                <w:sz w:val="30"/>
                <w:szCs w:val="30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3BA71DD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作图工具</w:t>
            </w:r>
          </w:p>
        </w:tc>
        <w:tc>
          <w:tcPr>
            <w:tcW w:w="1293" w:type="dxa"/>
            <w:vAlign w:val="center"/>
          </w:tcPr>
          <w:p w14:paraId="2F1A7F5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Photosho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p</w:t>
            </w:r>
          </w:p>
        </w:tc>
        <w:tc>
          <w:tcPr>
            <w:tcW w:w="2712" w:type="dxa"/>
            <w:vAlign w:val="center"/>
          </w:tcPr>
          <w:p w14:paraId="0C51ED4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CS6</w:t>
            </w:r>
          </w:p>
        </w:tc>
        <w:tc>
          <w:tcPr>
            <w:tcW w:w="1200" w:type="dxa"/>
            <w:vAlign w:val="center"/>
          </w:tcPr>
          <w:p w14:paraId="47A3431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3套/组</w:t>
            </w:r>
          </w:p>
        </w:tc>
        <w:tc>
          <w:tcPr>
            <w:tcW w:w="1025" w:type="dxa"/>
            <w:vAlign w:val="center"/>
          </w:tcPr>
          <w:p w14:paraId="332C156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</w:p>
        </w:tc>
      </w:tr>
      <w:tr w14:paraId="42388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1084" w:type="dxa"/>
            <w:vMerge w:val="continue"/>
            <w:vAlign w:val="center"/>
          </w:tcPr>
          <w:p w14:paraId="1DD824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jc w:val="center"/>
              <w:textAlignment w:val="baseline"/>
              <w:rPr>
                <w:rFonts w:ascii="FangSong_GB2312" w:hAnsi="FangSong_GB2312" w:eastAsia="FangSong_GB2312" w:cs="FangSong_GB2312"/>
                <w:b/>
                <w:bCs/>
                <w:spacing w:val="-14"/>
                <w:sz w:val="30"/>
                <w:szCs w:val="30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6F22FBB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渗透系统</w:t>
            </w:r>
          </w:p>
        </w:tc>
        <w:tc>
          <w:tcPr>
            <w:tcW w:w="1293" w:type="dxa"/>
            <w:vAlign w:val="center"/>
          </w:tcPr>
          <w:p w14:paraId="2F4D234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Parrot Security Edition</w:t>
            </w:r>
          </w:p>
        </w:tc>
        <w:tc>
          <w:tcPr>
            <w:tcW w:w="2712" w:type="dxa"/>
            <w:vAlign w:val="center"/>
          </w:tcPr>
          <w:p w14:paraId="1E3F0DF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5.2</w:t>
            </w:r>
          </w:p>
        </w:tc>
        <w:tc>
          <w:tcPr>
            <w:tcW w:w="1200" w:type="dxa"/>
            <w:vAlign w:val="center"/>
          </w:tcPr>
          <w:p w14:paraId="175157B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3套/组</w:t>
            </w:r>
          </w:p>
        </w:tc>
        <w:tc>
          <w:tcPr>
            <w:tcW w:w="1025" w:type="dxa"/>
            <w:vAlign w:val="center"/>
          </w:tcPr>
          <w:p w14:paraId="7768BC9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</w:p>
        </w:tc>
      </w:tr>
      <w:tr w14:paraId="32284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1084" w:type="dxa"/>
            <w:vAlign w:val="center"/>
          </w:tcPr>
          <w:p w14:paraId="27C4D3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jc w:val="center"/>
              <w:textAlignment w:val="baseline"/>
              <w:rPr>
                <w:rFonts w:ascii="FangSong_GB2312" w:hAnsi="FangSong_GB2312" w:eastAsia="FangSong_GB2312" w:cs="FangSong_GB2312"/>
                <w:b/>
                <w:bCs/>
                <w:spacing w:val="-14"/>
                <w:sz w:val="30"/>
                <w:szCs w:val="3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3"/>
                <w:sz w:val="30"/>
                <w:szCs w:val="30"/>
              </w:rPr>
              <w:t>工具</w:t>
            </w:r>
          </w:p>
        </w:tc>
        <w:tc>
          <w:tcPr>
            <w:tcW w:w="1905" w:type="dxa"/>
            <w:gridSpan w:val="2"/>
            <w:vAlign w:val="center"/>
          </w:tcPr>
          <w:p w14:paraId="0CA183B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设备调试连接工具</w:t>
            </w:r>
          </w:p>
        </w:tc>
        <w:tc>
          <w:tcPr>
            <w:tcW w:w="1293" w:type="dxa"/>
            <w:vAlign w:val="center"/>
          </w:tcPr>
          <w:p w14:paraId="1840953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超级终端</w:t>
            </w:r>
          </w:p>
        </w:tc>
        <w:tc>
          <w:tcPr>
            <w:tcW w:w="2712" w:type="dxa"/>
            <w:vAlign w:val="center"/>
          </w:tcPr>
          <w:p w14:paraId="0D0DD1C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SecureCRT/putty</w:t>
            </w:r>
          </w:p>
        </w:tc>
        <w:tc>
          <w:tcPr>
            <w:tcW w:w="1200" w:type="dxa"/>
            <w:vAlign w:val="center"/>
          </w:tcPr>
          <w:p w14:paraId="64FD5F0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3套/组</w:t>
            </w:r>
          </w:p>
        </w:tc>
        <w:tc>
          <w:tcPr>
            <w:tcW w:w="1025" w:type="dxa"/>
            <w:vAlign w:val="center"/>
          </w:tcPr>
          <w:p w14:paraId="3C5816F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en-US" w:bidi="ar-SA"/>
              </w:rPr>
            </w:pPr>
          </w:p>
        </w:tc>
      </w:tr>
      <w:tr w14:paraId="52471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5" w:hRule="atLeast"/>
          <w:jc w:val="center"/>
        </w:trPr>
        <w:tc>
          <w:tcPr>
            <w:tcW w:w="1084" w:type="dxa"/>
            <w:vAlign w:val="center"/>
          </w:tcPr>
          <w:p w14:paraId="6F4EC8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jc w:val="center"/>
              <w:textAlignment w:val="baseline"/>
              <w:rPr>
                <w:rFonts w:ascii="FangSong_GB2312" w:hAnsi="FangSong_GB2312" w:eastAsia="FangSong_GB2312" w:cs="FangSong_GB2312"/>
                <w:b/>
                <w:bCs/>
                <w:spacing w:val="-13"/>
                <w:sz w:val="30"/>
                <w:szCs w:val="3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3"/>
                <w:sz w:val="30"/>
                <w:szCs w:val="30"/>
              </w:rPr>
              <w:t>技术</w:t>
            </w:r>
          </w:p>
          <w:p w14:paraId="5B505E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3"/>
                <w:sz w:val="30"/>
                <w:szCs w:val="30"/>
              </w:rPr>
              <w:t>支持</w:t>
            </w:r>
          </w:p>
        </w:tc>
        <w:tc>
          <w:tcPr>
            <w:tcW w:w="8135" w:type="dxa"/>
            <w:gridSpan w:val="6"/>
            <w:vAlign w:val="center"/>
          </w:tcPr>
          <w:p w14:paraId="2195D4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提供竞赛设备支持；</w:t>
            </w:r>
          </w:p>
          <w:p w14:paraId="189803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技术人员现场支持保障；</w:t>
            </w:r>
          </w:p>
          <w:p w14:paraId="4EF26C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</w:pP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3.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赛场环境安全，赛场组织与管理人员制定安保须知、安全隐患规避方法及突发事件预案，设立紧急疏散路线及通道等，确保比赛期间所有进入竞赛地点的车辆、人员需凭证入内；严禁携带易燃易爆物、管制刀具等危险品及比赛严令禁止的其他物品进入场地；对于紧急发生的拥挤、踩踏、地震、火灾等进行紧急有效的处置；</w:t>
            </w:r>
          </w:p>
          <w:p w14:paraId="4CDA75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4</w:t>
            </w: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操作安全保障，赛前要对选手进行计算机、网络设备、工具等操作的安全培训，进行安全操作的宣讲，确保每个队员能够安全操作设备后方可进行比赛。裁判员在比赛前，宣读安全注意事项，强调用火、用电安全规则；</w:t>
            </w:r>
          </w:p>
          <w:p w14:paraId="57F583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.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赛场竞赛规范，参赛选手进入赛位、赛事裁判工作人员进入工作场所，严禁携带通讯、照相摄录设备，禁止携带记录用具。如确有需要，由赛场统一配置、统一管理。赛项可根据需要配置安检设备对进入赛场重要部位的人员进行安检。</w:t>
            </w:r>
          </w:p>
        </w:tc>
      </w:tr>
      <w:tr w14:paraId="0E204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1" w:hRule="atLeast"/>
          <w:jc w:val="center"/>
        </w:trPr>
        <w:tc>
          <w:tcPr>
            <w:tcW w:w="1084" w:type="dxa"/>
            <w:vAlign w:val="center"/>
          </w:tcPr>
          <w:p w14:paraId="0FC289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3" w:lineRule="auto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30"/>
                <w:szCs w:val="30"/>
              </w:rPr>
              <w:t>场地及环境</w:t>
            </w:r>
          </w:p>
        </w:tc>
        <w:tc>
          <w:tcPr>
            <w:tcW w:w="8135" w:type="dxa"/>
            <w:gridSpan w:val="6"/>
            <w:vAlign w:val="center"/>
          </w:tcPr>
          <w:p w14:paraId="73FE0E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竞赛场地配置：保证良好的采光、照明和通风。提供稳定的水、电、网络和供电应急设备。竞赛场地面积需≥参赛队伍数量</w:t>
            </w: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*10 m²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。</w:t>
            </w:r>
          </w:p>
          <w:p w14:paraId="001038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竞赛工位配置：每个操作平台面积≥</w:t>
            </w: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8m²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、工位间隔＞</w:t>
            </w: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1.5m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，需注明工位号并配备符合安全标准的</w:t>
            </w:r>
            <w:r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220V</w:t>
            </w: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电源。</w:t>
            </w:r>
          </w:p>
          <w:p w14:paraId="06107B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赛场区域配置：选手竞赛区、裁判工作区、技术支持区、裁判评分区、观摩区、仲裁室等。</w:t>
            </w:r>
          </w:p>
        </w:tc>
      </w:tr>
      <w:tr w14:paraId="50420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  <w:jc w:val="center"/>
        </w:trPr>
        <w:tc>
          <w:tcPr>
            <w:tcW w:w="1084" w:type="dxa"/>
            <w:vAlign w:val="center"/>
          </w:tcPr>
          <w:p w14:paraId="6DD474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sz w:val="30"/>
                <w:szCs w:val="3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30"/>
                <w:szCs w:val="30"/>
              </w:rPr>
              <w:t>其他</w:t>
            </w:r>
          </w:p>
        </w:tc>
        <w:tc>
          <w:tcPr>
            <w:tcW w:w="8135" w:type="dxa"/>
            <w:gridSpan w:val="6"/>
            <w:vAlign w:val="center"/>
          </w:tcPr>
          <w:p w14:paraId="38C257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5" w:lineRule="auto"/>
              <w:jc w:val="center"/>
              <w:textAlignment w:val="baseline"/>
              <w:rPr>
                <w:rFonts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napToGrid w:val="0"/>
                <w:color w:val="000000"/>
                <w:spacing w:val="-6"/>
                <w:sz w:val="28"/>
                <w:szCs w:val="28"/>
                <w:lang w:val="en-US" w:eastAsia="zh-CN" w:bidi="ar-SA"/>
              </w:rPr>
              <w:t>无</w:t>
            </w:r>
          </w:p>
        </w:tc>
      </w:tr>
    </w:tbl>
    <w:p w14:paraId="55458305"/>
    <w:sectPr>
      <w:pgSz w:w="11906" w:h="16839"/>
      <w:pgMar w:top="1431" w:right="1684" w:bottom="1209" w:left="1641" w:header="0" w:footer="99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zN2JjYTI3MzkwYzQ4Njg4N2FjYjhhNTEzNmEwZWIifQ=="/>
  </w:docVars>
  <w:rsids>
    <w:rsidRoot w:val="00E82857"/>
    <w:rsid w:val="00456030"/>
    <w:rsid w:val="00526827"/>
    <w:rsid w:val="006A6AD2"/>
    <w:rsid w:val="00792BCC"/>
    <w:rsid w:val="009901E5"/>
    <w:rsid w:val="00A249D0"/>
    <w:rsid w:val="00B72CF6"/>
    <w:rsid w:val="00D6250D"/>
    <w:rsid w:val="00E82857"/>
    <w:rsid w:val="12061A92"/>
    <w:rsid w:val="2E776E14"/>
    <w:rsid w:val="5D344852"/>
    <w:rsid w:val="5F16108D"/>
    <w:rsid w:val="5F4743C3"/>
    <w:rsid w:val="6EC9219D"/>
    <w:rsid w:val="76A8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750</Words>
  <Characters>901</Characters>
  <Lines>8</Lines>
  <Paragraphs>2</Paragraphs>
  <TotalTime>1</TotalTime>
  <ScaleCrop>false</ScaleCrop>
  <LinksUpToDate>false</LinksUpToDate>
  <CharactersWithSpaces>912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2024-12-11T06:48:00Z</dcterms:created>
  <dc:creator>26742</dc:creator>
  <cp:lastModifiedBy>圆圆圆</cp:lastModifiedBy>
  <dcterms:modified xsi:type="dcterms:W3CDTF">2025-02-26T10:25:02Z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2024-10-03T11:31:19Z</vt:filetime>
  </property>
  <property fmtid="{D5CDD505-2E9C-101B-9397-08002B2CF9AE}" pid="4" name="KSOProductBuildVer">
    <vt:lpwstr>2052-12.1.0.20305</vt:lpwstr>
  </property>
  <property fmtid="{D5CDD505-2E9C-101B-9397-08002B2CF9AE}" pid="5" name="ICV">
    <vt:lpwstr>D708A88C06BD4790AB6550722BEA9E88_13</vt:lpwstr>
  </property>
  <property fmtid="{D5CDD505-2E9C-101B-9397-08002B2CF9AE}" pid="6" name="KSOTemplateDocerSaveRecord">
    <vt:lpwstr>eyJoZGlkIjoiOTFkMzc0YzFjZGNhODg2MDdjNTliYjBhOGZlMTYxNTUiLCJ1c2VySWQiOiI2Njc2OTQ4MjQifQ==</vt:lpwstr>
  </property>
</Properties>
</file>