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t xml:space="preserve">2022 年浙江省职业院校技能大赛“高职组” </w:t>
      </w:r>
    </w:p>
    <w:p>
      <w:pPr>
        <w:pStyle w:val="2"/>
        <w:jc w:val="center"/>
        <w:rPr>
          <w:color w:val="000000" w:themeColor="text1"/>
          <w:sz w:val="40"/>
          <w:szCs w:val="44"/>
          <w14:textFill>
            <w14:solidFill>
              <w14:schemeClr w14:val="tx1"/>
            </w14:solidFill>
          </w14:textFill>
        </w:rPr>
      </w:pPr>
      <w:r>
        <w:rPr>
          <w:color w:val="000000" w:themeColor="text1"/>
          <w:sz w:val="40"/>
          <w:szCs w:val="44"/>
          <w14:textFill>
            <w14:solidFill>
              <w14:schemeClr w14:val="tx1"/>
            </w14:solidFill>
          </w14:textFill>
        </w:rPr>
        <w:t>“信息安全管理与评估”赛项规程</w:t>
      </w:r>
    </w:p>
    <w:p>
      <w:pPr>
        <w:pStyle w:val="2"/>
        <w:rPr>
          <w:color w:val="000000" w:themeColor="text1"/>
          <w14:textFill>
            <w14:solidFill>
              <w14:schemeClr w14:val="tx1"/>
            </w14:solidFill>
          </w14:textFill>
        </w:rPr>
      </w:pPr>
      <w:r>
        <w:rPr>
          <w:color w:val="000000" w:themeColor="text1"/>
          <w14:textFill>
            <w14:solidFill>
              <w14:schemeClr w14:val="tx1"/>
            </w14:solidFill>
          </w14:textFill>
        </w:rPr>
        <w:t>一、赛项名称</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赛项名称：</w:t>
      </w:r>
      <w:r>
        <w:rPr>
          <w:color w:val="000000" w:themeColor="text1"/>
          <w14:textFill>
            <w14:solidFill>
              <w14:schemeClr w14:val="tx1"/>
            </w14:solidFill>
          </w14:textFill>
        </w:rPr>
        <w:t>信息安全管理与评估</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英文名称：Information Security Management and Evaluation</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赛项组别：高职</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赛项归属产业：电子信息大类</w:t>
      </w:r>
    </w:p>
    <w:p>
      <w:pPr>
        <w:pStyle w:val="2"/>
        <w:rPr>
          <w:color w:val="000000" w:themeColor="text1"/>
          <w14:textFill>
            <w14:solidFill>
              <w14:schemeClr w14:val="tx1"/>
            </w14:solidFill>
          </w14:textFill>
        </w:rPr>
      </w:pPr>
      <w:r>
        <w:rPr>
          <w:color w:val="000000" w:themeColor="text1"/>
          <w14:textFill>
            <w14:solidFill>
              <w14:schemeClr w14:val="tx1"/>
            </w14:solidFill>
          </w14:textFill>
        </w:rPr>
        <w:t>二、竞赛目的</w:t>
      </w:r>
    </w:p>
    <w:p>
      <w:pPr>
        <w:pStyle w:val="3"/>
        <w:rPr>
          <w:color w:val="000000" w:themeColor="text1"/>
          <w14:textFill>
            <w14:solidFill>
              <w14:schemeClr w14:val="tx1"/>
            </w14:solidFill>
          </w14:textFill>
        </w:rPr>
      </w:pPr>
      <w:r>
        <w:rPr>
          <w:color w:val="000000" w:themeColor="text1"/>
          <w14:textFill>
            <w14:solidFill>
              <w14:schemeClr w14:val="tx1"/>
            </w14:solidFill>
          </w14:textFill>
        </w:rPr>
        <w:t>（一）</w:t>
      </w:r>
      <w:r>
        <w:rPr>
          <w:rFonts w:hint="eastAsia"/>
          <w:color w:val="000000" w:themeColor="text1"/>
          <w14:textFill>
            <w14:solidFill>
              <w14:schemeClr w14:val="tx1"/>
            </w14:solidFill>
          </w14:textFill>
        </w:rPr>
        <w:t>引领教学改革</w:t>
      </w:r>
    </w:p>
    <w:p>
      <w:pPr>
        <w:pStyle w:val="6"/>
        <w:spacing w:before="186" w:line="360" w:lineRule="auto"/>
        <w:ind w:right="375"/>
        <w:jc w:val="both"/>
        <w:rPr>
          <w:color w:val="000000" w:themeColor="text1"/>
          <w:spacing w:val="-5"/>
          <w14:textFill>
            <w14:solidFill>
              <w14:schemeClr w14:val="tx1"/>
            </w14:solidFill>
          </w14:textFill>
        </w:rPr>
      </w:pPr>
      <w:r>
        <w:rPr>
          <w:rFonts w:hint="eastAsia"/>
          <w:color w:val="000000" w:themeColor="text1"/>
          <w:spacing w:val="-5"/>
          <w14:textFill>
            <w14:solidFill>
              <w14:schemeClr w14:val="tx1"/>
            </w14:solidFill>
          </w14:textFill>
        </w:rPr>
        <w:t>通过本项目竞赛让参赛选手熟悉世界技能大赛网络安全项目的职业标准规范，检验参赛选手网络组建和安全运维、安全审计、网络安全应急响应、数字取证调查、应用程序安全和网络攻防渗透能力，检验参赛队计划组织和团队协作等综合职业素养，强调学生创新能力和实践能力培养，提升学生职业能力和就业质量。</w:t>
      </w:r>
    </w:p>
    <w:p>
      <w:pPr>
        <w:pStyle w:val="3"/>
        <w:rPr>
          <w:color w:val="000000" w:themeColor="text1"/>
          <w14:textFill>
            <w14:solidFill>
              <w14:schemeClr w14:val="tx1"/>
            </w14:solidFill>
          </w14:textFill>
        </w:rPr>
      </w:pPr>
      <w:r>
        <w:rPr>
          <w:color w:val="000000" w:themeColor="text1"/>
          <w14:textFill>
            <w14:solidFill>
              <w14:schemeClr w14:val="tx1"/>
            </w14:solidFill>
          </w14:textFill>
        </w:rPr>
        <w:t>（二）强化专业建设</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该赛项衔接国家信息安全技术应用高职专业标准，竞赛内容覆盖“信息安全技术与实施”、“信息安全产品配置与应用”、“网络安全系统集成”、“网络攻防实训”、“网络安全运行与维护”、“操作系统安全配置”、“Web 渗透测试技术”等专业核心课程内容。</w:t>
      </w:r>
    </w:p>
    <w:p>
      <w:pPr>
        <w:pStyle w:val="3"/>
        <w:rPr>
          <w:color w:val="000000" w:themeColor="text1"/>
          <w14:textFill>
            <w14:solidFill>
              <w14:schemeClr w14:val="tx1"/>
            </w14:solidFill>
          </w14:textFill>
        </w:rPr>
      </w:pPr>
      <w:r>
        <w:rPr>
          <w:color w:val="000000" w:themeColor="text1"/>
          <w14:textFill>
            <w14:solidFill>
              <w14:schemeClr w14:val="tx1"/>
            </w14:solidFill>
          </w14:textFill>
        </w:rPr>
        <w:t>（三）促进产教合作</w:t>
      </w:r>
    </w:p>
    <w:p>
      <w:pPr>
        <w:pStyle w:val="6"/>
        <w:spacing w:before="184" w:line="360" w:lineRule="auto"/>
        <w:ind w:left="779" w:right="0" w:firstLine="0"/>
        <w:rPr>
          <w:color w:val="000000" w:themeColor="text1"/>
          <w14:textFill>
            <w14:solidFill>
              <w14:schemeClr w14:val="tx1"/>
            </w14:solidFill>
          </w14:textFill>
        </w:rPr>
      </w:pPr>
      <w:r>
        <w:rPr>
          <w:color w:val="000000" w:themeColor="text1"/>
          <w14:textFill>
            <w14:solidFill>
              <w14:schemeClr w14:val="tx1"/>
            </w14:solidFill>
          </w14:textFill>
        </w:rPr>
        <w:t>赛项基于信息安全领域主流技术和现行业务流程设计，信息安全</w:t>
      </w:r>
    </w:p>
    <w:p>
      <w:pPr>
        <w:pStyle w:val="6"/>
        <w:spacing w:before="44" w:line="360" w:lineRule="auto"/>
        <w:ind w:right="238" w:firstLine="0"/>
        <w:rPr>
          <w:color w:val="000000" w:themeColor="text1"/>
          <w14:textFill>
            <w14:solidFill>
              <w14:schemeClr w14:val="tx1"/>
            </w14:solidFill>
          </w14:textFill>
        </w:rPr>
      </w:pPr>
      <w:r>
        <w:rPr>
          <w:color w:val="000000" w:themeColor="text1"/>
          <w:spacing w:val="-9"/>
          <w14:textFill>
            <w14:solidFill>
              <w14:schemeClr w14:val="tx1"/>
            </w14:solidFill>
          </w14:textFill>
        </w:rPr>
        <w:t>行业专家与院校教育专家紧密合作，赛前完成竞赛内容向教学改革的</w:t>
      </w:r>
      <w:r>
        <w:rPr>
          <w:color w:val="000000" w:themeColor="text1"/>
          <w:spacing w:val="-18"/>
          <w14:textFill>
            <w14:solidFill>
              <w14:schemeClr w14:val="tx1"/>
            </w14:solidFill>
          </w14:textFill>
        </w:rPr>
        <w:t>成果转化，实现以赛促教、以赛促学、以赛促改的教产合作赛事创新。</w:t>
      </w:r>
    </w:p>
    <w:p>
      <w:pPr>
        <w:pStyle w:val="2"/>
        <w:rPr>
          <w:color w:val="000000" w:themeColor="text1"/>
          <w14:textFill>
            <w14:solidFill>
              <w14:schemeClr w14:val="tx1"/>
            </w14:solidFill>
          </w14:textFill>
        </w:rPr>
      </w:pPr>
      <w:r>
        <w:rPr>
          <w:color w:val="000000" w:themeColor="text1"/>
          <w14:textFill>
            <w14:solidFill>
              <w14:schemeClr w14:val="tx1"/>
            </w14:solidFill>
          </w14:textFill>
        </w:rPr>
        <w:t>三、竞赛内容</w:t>
      </w:r>
    </w:p>
    <w:p>
      <w:pPr>
        <w:pStyle w:val="6"/>
        <w:spacing w:before="181" w:line="360" w:lineRule="auto"/>
        <w:ind w:right="376"/>
        <w:jc w:val="both"/>
        <w:rPr>
          <w:color w:val="000000" w:themeColor="text1"/>
          <w14:textFill>
            <w14:solidFill>
              <w14:schemeClr w14:val="tx1"/>
            </w14:solidFill>
          </w14:textFill>
        </w:rPr>
      </w:pPr>
      <w:r>
        <w:rPr>
          <w:bCs/>
          <w:color w:val="000000" w:themeColor="text1"/>
          <w:spacing w:val="-11"/>
          <w14:textFill>
            <w14:solidFill>
              <w14:schemeClr w14:val="tx1"/>
            </w14:solidFill>
          </w14:textFill>
        </w:rPr>
        <w:t xml:space="preserve">赛项竞赛时间为 </w:t>
      </w:r>
      <w:r>
        <w:rPr>
          <w:bCs/>
          <w:color w:val="000000" w:themeColor="text1"/>
          <w14:textFill>
            <w14:solidFill>
              <w14:schemeClr w14:val="tx1"/>
            </w14:solidFill>
          </w14:textFill>
        </w:rPr>
        <w:t>240</w:t>
      </w:r>
      <w:r>
        <w:rPr>
          <w:bCs/>
          <w:color w:val="000000" w:themeColor="text1"/>
          <w:spacing w:val="-15"/>
          <w14:textFill>
            <w14:solidFill>
              <w14:schemeClr w14:val="tx1"/>
            </w14:solidFill>
          </w14:textFill>
        </w:rPr>
        <w:t xml:space="preserve"> 分钟</w:t>
      </w:r>
      <w:r>
        <w:rPr>
          <w:color w:val="000000" w:themeColor="text1"/>
          <w:spacing w:val="-15"/>
          <w14:textFill>
            <w14:solidFill>
              <w14:schemeClr w14:val="tx1"/>
            </w14:solidFill>
          </w14:textFill>
        </w:rPr>
        <w:t>，重点考核参赛选手网络组建</w:t>
      </w:r>
      <w:r>
        <w:rPr>
          <w:rFonts w:hint="eastAsia"/>
          <w:color w:val="000000" w:themeColor="text1"/>
          <w:spacing w:val="-15"/>
          <w14:textFill>
            <w14:solidFill>
              <w14:schemeClr w14:val="tx1"/>
            </w14:solidFill>
          </w14:textFill>
        </w:rPr>
        <w:t>与安全运维</w:t>
      </w:r>
      <w:r>
        <w:rPr>
          <w:color w:val="000000" w:themeColor="text1"/>
          <w:spacing w:val="-15"/>
          <w14:textFill>
            <w14:solidFill>
              <w14:schemeClr w14:val="tx1"/>
            </w14:solidFill>
          </w14:textFill>
        </w:rPr>
        <w:t>、</w:t>
      </w:r>
      <w:r>
        <w:rPr>
          <w:rFonts w:hint="eastAsia"/>
          <w:color w:val="000000" w:themeColor="text1"/>
          <w:spacing w:val="-15"/>
          <w14:textFill>
            <w14:solidFill>
              <w14:schemeClr w14:val="tx1"/>
            </w14:solidFill>
          </w14:textFill>
        </w:rPr>
        <w:t>安全审计、网络安全应急响应、数字取证调查、应用程序安全和网络攻防渗透等综合实践能力，</w:t>
      </w:r>
      <w:r>
        <w:rPr>
          <w:color w:val="000000" w:themeColor="text1"/>
          <w:spacing w:val="-10"/>
          <w14:textFill>
            <w14:solidFill>
              <w14:schemeClr w14:val="tx1"/>
            </w14:solidFill>
          </w14:textFill>
        </w:rPr>
        <w:t>具</w:t>
      </w:r>
      <w:r>
        <w:rPr>
          <w:color w:val="000000" w:themeColor="text1"/>
          <w:spacing w:val="-4"/>
          <w14:textFill>
            <w14:solidFill>
              <w14:schemeClr w14:val="tx1"/>
            </w14:solidFill>
          </w14:textFill>
        </w:rPr>
        <w:t>体包括：</w:t>
      </w:r>
    </w:p>
    <w:p>
      <w:pPr>
        <w:pStyle w:val="6"/>
        <w:spacing w:line="405" w:lineRule="auto"/>
        <w:ind w:right="957" w:firstLine="500"/>
        <w:rPr>
          <w:color w:val="000000" w:themeColor="text1"/>
          <w14:textFill>
            <w14:solidFill>
              <w14:schemeClr w14:val="tx1"/>
            </w14:solidFill>
          </w14:textFill>
        </w:rPr>
      </w:pPr>
      <w:r>
        <w:rPr>
          <w:rFonts w:hint="eastAsia"/>
          <w:color w:val="000000" w:themeColor="text1"/>
          <w:spacing w:val="-5"/>
          <w14:textFill>
            <w14:solidFill>
              <w14:schemeClr w14:val="tx1"/>
            </w14:solidFill>
          </w14:textFill>
        </w:rPr>
        <w:t>1、</w:t>
      </w:r>
      <w:r>
        <w:rPr>
          <w:color w:val="000000" w:themeColor="text1"/>
          <w:spacing w:val="-5"/>
          <w14:textFill>
            <w14:solidFill>
              <w14:schemeClr w14:val="tx1"/>
            </w14:solidFill>
          </w14:textFill>
        </w:rPr>
        <w:t>参赛选手能够根据大赛提供的赛项要求，设计信息安全防护方案，并</w:t>
      </w:r>
      <w:r>
        <w:rPr>
          <w:color w:val="000000" w:themeColor="text1"/>
          <w14:textFill>
            <w14:solidFill>
              <w14:schemeClr w14:val="tx1"/>
            </w14:solidFill>
          </w14:textFill>
        </w:rPr>
        <w:t>且能够提供详细的信息安全防护设备拓扑图。</w:t>
      </w:r>
    </w:p>
    <w:p>
      <w:pPr>
        <w:pStyle w:val="6"/>
        <w:spacing w:before="2" w:line="405" w:lineRule="auto"/>
        <w:ind w:right="844" w:firstLine="5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参赛选手能够根据业务需求和实际的工程应用环境，实现网络设备、安全设备、服务器的连接，通过调试，实现设备互联互通。</w:t>
      </w:r>
    </w:p>
    <w:p>
      <w:pPr>
        <w:pStyle w:val="6"/>
        <w:spacing w:before="1" w:line="405" w:lineRule="auto"/>
        <w:ind w:right="717" w:firstLine="500"/>
        <w:rPr>
          <w:color w:val="000000" w:themeColor="text1"/>
          <w14:textFill>
            <w14:solidFill>
              <w14:schemeClr w14:val="tx1"/>
            </w14:solidFill>
          </w14:textFill>
        </w:rPr>
      </w:pPr>
      <w:r>
        <w:rPr>
          <w:color w:val="000000" w:themeColor="text1"/>
          <w:spacing w:val="-1"/>
          <w14:textFill>
            <w14:solidFill>
              <w14:schemeClr w14:val="tx1"/>
            </w14:solidFill>
          </w14:textFill>
        </w:rPr>
        <w:t>3</w:t>
      </w:r>
      <w:r>
        <w:rPr>
          <w:rFonts w:hint="eastAsia"/>
          <w:color w:val="000000" w:themeColor="text1"/>
          <w:spacing w:val="-1"/>
          <w14:textFill>
            <w14:solidFill>
              <w14:schemeClr w14:val="tx1"/>
            </w14:solidFill>
          </w14:textFill>
        </w:rPr>
        <w:t>、</w:t>
      </w:r>
      <w:r>
        <w:rPr>
          <w:color w:val="000000" w:themeColor="text1"/>
          <w:spacing w:val="-1"/>
          <w14:textFill>
            <w14:solidFill>
              <w14:schemeClr w14:val="tx1"/>
            </w14:solidFill>
          </w14:textFill>
        </w:rPr>
        <w:t xml:space="preserve">参赛选手能够在赛项提供的网络设备及服务器上配置各种协议和服务， </w:t>
      </w:r>
      <w:r>
        <w:rPr>
          <w:color w:val="000000" w:themeColor="text1"/>
          <w:spacing w:val="-7"/>
          <w14:textFill>
            <w14:solidFill>
              <w14:schemeClr w14:val="tx1"/>
            </w14:solidFill>
          </w14:textFill>
        </w:rPr>
        <w:t>实现网络系统的运行，并根据网络业务需求配置各种安全策略，组建网络以满足 应用需求。</w:t>
      </w:r>
    </w:p>
    <w:p>
      <w:pPr>
        <w:pStyle w:val="6"/>
        <w:spacing w:before="1" w:line="405" w:lineRule="auto"/>
        <w:ind w:right="841" w:firstLine="500"/>
        <w:rPr>
          <w:color w:val="000000" w:themeColor="text1"/>
          <w14:textFill>
            <w14:solidFill>
              <w14:schemeClr w14:val="tx1"/>
            </w14:solidFill>
          </w14:textFill>
        </w:rPr>
      </w:pPr>
      <w:r>
        <w:rPr>
          <w:color w:val="000000" w:themeColor="text1"/>
          <w:spacing w:val="-7"/>
          <w14:textFill>
            <w14:solidFill>
              <w14:schemeClr w14:val="tx1"/>
            </w14:solidFill>
          </w14:textFill>
        </w:rPr>
        <w:t>4</w:t>
      </w:r>
      <w:r>
        <w:rPr>
          <w:rFonts w:hint="eastAsia"/>
          <w:color w:val="000000" w:themeColor="text1"/>
          <w:spacing w:val="-7"/>
          <w14:textFill>
            <w14:solidFill>
              <w14:schemeClr w14:val="tx1"/>
            </w14:solidFill>
          </w14:textFill>
        </w:rPr>
        <w:t>、</w:t>
      </w:r>
      <w:r>
        <w:rPr>
          <w:color w:val="000000" w:themeColor="text1"/>
          <w:spacing w:val="-7"/>
          <w14:textFill>
            <w14:solidFill>
              <w14:schemeClr w14:val="tx1"/>
            </w14:solidFill>
          </w14:textFill>
        </w:rPr>
        <w:t>参赛选手能够根据企业所发现的安全事件，展开网络安全事件的调查、</w:t>
      </w:r>
      <w:r>
        <w:rPr>
          <w:color w:val="000000" w:themeColor="text1"/>
          <w:spacing w:val="-9"/>
          <w14:textFill>
            <w14:solidFill>
              <w14:schemeClr w14:val="tx1"/>
            </w14:solidFill>
          </w14:textFill>
        </w:rPr>
        <w:t>分析和取证工作，收集、保存、处理、分析和提供与计算机相关的证据，审计黑客的入侵行为，恢复被黑客破坏的文件。</w:t>
      </w:r>
    </w:p>
    <w:p>
      <w:pPr>
        <w:pStyle w:val="6"/>
        <w:spacing w:before="1" w:line="405" w:lineRule="auto"/>
        <w:ind w:right="957" w:firstLine="500"/>
        <w:rPr>
          <w:color w:val="000000" w:themeColor="text1"/>
          <w14:textFill>
            <w14:solidFill>
              <w14:schemeClr w14:val="tx1"/>
            </w14:solidFill>
          </w14:textFill>
        </w:rPr>
      </w:pPr>
      <w:r>
        <w:rPr>
          <w:color w:val="000000" w:themeColor="text1"/>
          <w:spacing w:val="-1"/>
          <w14:textFill>
            <w14:solidFill>
              <w14:schemeClr w14:val="tx1"/>
            </w14:solidFill>
          </w14:textFill>
        </w:rPr>
        <w:t>5</w:t>
      </w:r>
      <w:r>
        <w:rPr>
          <w:rFonts w:hint="eastAsia"/>
          <w:color w:val="000000" w:themeColor="text1"/>
          <w:spacing w:val="-1"/>
          <w14:textFill>
            <w14:solidFill>
              <w14:schemeClr w14:val="tx1"/>
            </w14:solidFill>
          </w14:textFill>
        </w:rPr>
        <w:t>、</w:t>
      </w:r>
      <w:r>
        <w:rPr>
          <w:color w:val="000000" w:themeColor="text1"/>
          <w:spacing w:val="-1"/>
          <w14:textFill>
            <w14:solidFill>
              <w14:schemeClr w14:val="tx1"/>
            </w14:solidFill>
          </w14:textFill>
        </w:rPr>
        <w:t>参赛选手可以利用一系列网络安全攻击渗透工具对所提供的网络安全</w:t>
      </w:r>
      <w:r>
        <w:rPr>
          <w:color w:val="000000" w:themeColor="text1"/>
          <w14:textFill>
            <w14:solidFill>
              <w14:schemeClr w14:val="tx1"/>
            </w14:solidFill>
          </w14:textFill>
        </w:rPr>
        <w:t>攻击靶场环境进行综合分析、挖掘和渗透。</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、竞赛</w:t>
      </w:r>
      <w:r>
        <w:rPr>
          <w:rFonts w:hint="eastAsia"/>
          <w:color w:val="000000" w:themeColor="text1"/>
          <w14:textFill>
            <w14:solidFill>
              <w14:schemeClr w14:val="tx1"/>
            </w14:solidFill>
          </w14:textFill>
        </w:rPr>
        <w:t>方式</w:t>
      </w:r>
    </w:p>
    <w:p>
      <w:pPr>
        <w:pStyle w:val="6"/>
        <w:spacing w:before="186" w:line="364" w:lineRule="auto"/>
        <w:ind w:right="375"/>
        <w:rPr>
          <w:bCs/>
          <w:color w:val="000000" w:themeColor="text1"/>
          <w14:textFill>
            <w14:solidFill>
              <w14:schemeClr w14:val="tx1"/>
            </w14:solidFill>
          </w14:textFill>
        </w:rPr>
      </w:pPr>
      <w:r>
        <w:rPr>
          <w:bCs/>
          <w:color w:val="000000" w:themeColor="text1"/>
          <w:spacing w:val="-10"/>
          <w14:textFill>
            <w14:solidFill>
              <w14:schemeClr w14:val="tx1"/>
            </w14:solidFill>
          </w14:textFill>
        </w:rPr>
        <w:t>本赛项为团体赛，以院校为单位组队参赛，不得跨校组队。</w:t>
      </w:r>
      <w:r>
        <w:rPr>
          <w:rFonts w:hint="eastAsia"/>
          <w:color w:val="000000" w:themeColor="text1"/>
          <w14:textFill>
            <w14:solidFill>
              <w14:schemeClr w14:val="tx1"/>
            </w14:solidFill>
          </w14:textFill>
        </w:rPr>
        <w:t>每所高职院校最多3支队伍参赛，</w:t>
      </w:r>
      <w:r>
        <w:rPr>
          <w:bCs/>
          <w:color w:val="000000" w:themeColor="text1"/>
          <w:spacing w:val="-10"/>
          <w14:textFill>
            <w14:solidFill>
              <w14:schemeClr w14:val="tx1"/>
            </w14:solidFill>
          </w14:textFill>
        </w:rPr>
        <w:t>每支</w:t>
      </w:r>
      <w:r>
        <w:rPr>
          <w:bCs/>
          <w:color w:val="000000" w:themeColor="text1"/>
          <w:spacing w:val="-22"/>
          <w14:textFill>
            <w14:solidFill>
              <w14:schemeClr w14:val="tx1"/>
            </w14:solidFill>
          </w14:textFill>
        </w:rPr>
        <w:t xml:space="preserve">参赛队由 </w:t>
      </w:r>
      <w:r>
        <w:rPr>
          <w:bCs/>
          <w:color w:val="000000" w:themeColor="text1"/>
          <w14:textFill>
            <w14:solidFill>
              <w14:schemeClr w14:val="tx1"/>
            </w14:solidFill>
          </w14:textFill>
        </w:rPr>
        <w:t>3</w:t>
      </w:r>
      <w:r>
        <w:rPr>
          <w:bCs/>
          <w:color w:val="000000" w:themeColor="text1"/>
          <w:spacing w:val="-14"/>
          <w14:textFill>
            <w14:solidFill>
              <w14:schemeClr w14:val="tx1"/>
            </w14:solidFill>
          </w14:textFill>
        </w:rPr>
        <w:t xml:space="preserve"> 名选手组成，其中队长 </w:t>
      </w:r>
      <w:r>
        <w:rPr>
          <w:bCs/>
          <w:color w:val="000000" w:themeColor="text1"/>
          <w14:textFill>
            <w14:solidFill>
              <w14:schemeClr w14:val="tx1"/>
            </w14:solidFill>
          </w14:textFill>
        </w:rPr>
        <w:t>1</w:t>
      </w:r>
      <w:r>
        <w:rPr>
          <w:bCs/>
          <w:color w:val="000000" w:themeColor="text1"/>
          <w:spacing w:val="-15"/>
          <w14:textFill>
            <w14:solidFill>
              <w14:schemeClr w14:val="tx1"/>
            </w14:solidFill>
          </w14:textFill>
        </w:rPr>
        <w:t xml:space="preserve"> 名。参赛选手须为 </w:t>
      </w:r>
      <w:r>
        <w:rPr>
          <w:bCs/>
          <w:color w:val="000000" w:themeColor="text1"/>
          <w14:textFill>
            <w14:solidFill>
              <w14:schemeClr w14:val="tx1"/>
            </w14:solidFill>
          </w14:textFill>
        </w:rPr>
        <w:t>2022</w:t>
      </w:r>
      <w:r>
        <w:rPr>
          <w:bCs/>
          <w:color w:val="000000" w:themeColor="text1"/>
          <w:spacing w:val="-17"/>
          <w14:textFill>
            <w14:solidFill>
              <w14:schemeClr w14:val="tx1"/>
            </w14:solidFill>
          </w14:textFill>
        </w:rPr>
        <w:t>年在籍</w:t>
      </w:r>
      <w:r>
        <w:rPr>
          <w:bCs/>
          <w:color w:val="000000" w:themeColor="text1"/>
          <w:spacing w:val="-13"/>
          <w14:textFill>
            <w14:solidFill>
              <w14:schemeClr w14:val="tx1"/>
            </w14:solidFill>
          </w14:textFill>
        </w:rPr>
        <w:t>高职学生，</w:t>
      </w:r>
      <w:r>
        <w:rPr>
          <w:rFonts w:hint="eastAsia"/>
          <w:color w:val="000000" w:themeColor="text1"/>
          <w14:textFill>
            <w14:solidFill>
              <w14:schemeClr w14:val="tx1"/>
            </w14:solidFill>
          </w14:textFill>
        </w:rPr>
        <w:t>年龄不超过25周岁（年龄计算的截止时间以2022年10月1日为准），</w:t>
      </w:r>
      <w:r>
        <w:rPr>
          <w:bCs/>
          <w:color w:val="000000" w:themeColor="text1"/>
          <w:spacing w:val="-13"/>
          <w14:textFill>
            <w14:solidFill>
              <w14:schemeClr w14:val="tx1"/>
            </w14:solidFill>
          </w14:textFill>
        </w:rPr>
        <w:t xml:space="preserve">性别不限。每支参赛队最多可配指导教师 </w:t>
      </w:r>
      <w:r>
        <w:rPr>
          <w:bCs/>
          <w:color w:val="000000" w:themeColor="text1"/>
          <w14:textFill>
            <w14:solidFill>
              <w14:schemeClr w14:val="tx1"/>
            </w14:solidFill>
          </w14:textFill>
        </w:rPr>
        <w:t>2</w:t>
      </w:r>
      <w:r>
        <w:rPr>
          <w:bCs/>
          <w:color w:val="000000" w:themeColor="text1"/>
          <w:spacing w:val="-17"/>
          <w14:textFill>
            <w14:solidFill>
              <w14:schemeClr w14:val="tx1"/>
            </w14:solidFill>
          </w14:textFill>
        </w:rPr>
        <w:t xml:space="preserve"> 名，并指定其</w:t>
      </w:r>
      <w:r>
        <w:rPr>
          <w:bCs/>
          <w:color w:val="000000" w:themeColor="text1"/>
          <w:spacing w:val="-5"/>
          <w14:textFill>
            <w14:solidFill>
              <w14:schemeClr w14:val="tx1"/>
            </w14:solidFill>
          </w14:textFill>
        </w:rPr>
        <w:t>中一名教师负责竞赛的协调工作。</w:t>
      </w:r>
    </w:p>
    <w:p>
      <w:pPr>
        <w:pStyle w:val="6"/>
        <w:spacing w:line="364" w:lineRule="auto"/>
        <w:ind w:right="238"/>
        <w:rPr>
          <w:color w:val="000000" w:themeColor="text1"/>
          <w14:textFill>
            <w14:solidFill>
              <w14:schemeClr w14:val="tx1"/>
            </w14:solidFill>
          </w14:textFill>
        </w:rPr>
      </w:pPr>
      <w:r>
        <w:rPr>
          <w:color w:val="000000" w:themeColor="text1"/>
          <w:spacing w:val="-18"/>
          <w14:textFill>
            <w14:solidFill>
              <w14:schemeClr w14:val="tx1"/>
            </w14:solidFill>
          </w14:textFill>
        </w:rPr>
        <w:t xml:space="preserve">参赛选手在报名获得确认后，原则上不再更换，如在备赛过程中， </w:t>
      </w:r>
      <w:r>
        <w:rPr>
          <w:color w:val="000000" w:themeColor="text1"/>
          <w:spacing w:val="-12"/>
          <w14:textFill>
            <w14:solidFill>
              <w14:schemeClr w14:val="tx1"/>
            </w14:solidFill>
          </w14:textFill>
        </w:rPr>
        <w:t>选手因故不能参赛，所在学校需出具书面说明并按相关参赛选手资格</w:t>
      </w:r>
      <w:r>
        <w:rPr>
          <w:color w:val="000000" w:themeColor="text1"/>
          <w:spacing w:val="-11"/>
          <w14:textFill>
            <w14:solidFill>
              <w14:schemeClr w14:val="tx1"/>
            </w14:solidFill>
          </w14:textFill>
        </w:rPr>
        <w:t>补充人员并接受审核；竞赛开始后，参赛队不得更换参赛选手，允许</w:t>
      </w:r>
      <w:r>
        <w:rPr>
          <w:color w:val="000000" w:themeColor="text1"/>
          <w:spacing w:val="-5"/>
          <w14:textFill>
            <w14:solidFill>
              <w14:schemeClr w14:val="tx1"/>
            </w14:solidFill>
          </w14:textFill>
        </w:rPr>
        <w:t>队员缺席比赛。不允许更换指导教师，允许指导教师缺席。</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五、竞赛安排</w:t>
      </w:r>
    </w:p>
    <w:p>
      <w:pPr>
        <w:pStyle w:val="6"/>
        <w:spacing w:line="364" w:lineRule="auto"/>
        <w:ind w:right="238"/>
        <w:rPr>
          <w:rFonts w:hint="eastAsia" w:eastAsia="仿宋"/>
          <w:color w:val="000000" w:themeColor="text1"/>
          <w:spacing w:val="-18"/>
          <w:lang w:val="en-US" w:eastAsia="zh-CN"/>
          <w14:textFill>
            <w14:solidFill>
              <w14:schemeClr w14:val="tx1"/>
            </w14:solidFill>
          </w14:textFill>
        </w:rPr>
      </w:pPr>
      <w:r>
        <w:rPr>
          <w:color w:val="000000" w:themeColor="text1"/>
          <w:spacing w:val="-18"/>
          <w14:textFill>
            <w14:solidFill>
              <w14:schemeClr w14:val="tx1"/>
            </w14:solidFill>
          </w14:textFill>
        </w:rPr>
        <w:t>本次竞赛在指定比赛赛场进行，比赛地点为</w:t>
      </w:r>
      <w:r>
        <w:rPr>
          <w:rFonts w:hint="eastAsia"/>
          <w:color w:val="000000" w:themeColor="text1"/>
          <w:spacing w:val="-18"/>
          <w14:textFill>
            <w14:solidFill>
              <w14:schemeClr w14:val="tx1"/>
            </w14:solidFill>
          </w14:textFill>
        </w:rPr>
        <w:t>绍兴职业技术学院</w:t>
      </w:r>
      <w:r>
        <w:rPr>
          <w:color w:val="000000" w:themeColor="text1"/>
          <w:spacing w:val="-18"/>
          <w14:textFill>
            <w14:solidFill>
              <w14:schemeClr w14:val="tx1"/>
            </w14:solidFill>
          </w14:textFill>
        </w:rPr>
        <w:t>，具体场地另定。</w:t>
      </w:r>
      <w:r>
        <w:rPr>
          <w:rFonts w:hint="eastAsia"/>
          <w:color w:val="000000" w:themeColor="text1"/>
          <w:spacing w:val="-18"/>
          <w14:textFill>
            <w14:solidFill>
              <w14:schemeClr w14:val="tx1"/>
            </w14:solidFill>
          </w14:textFill>
        </w:rPr>
        <w:t>比赛限定在1天内进行。第一阶段分为两场，第二阶段所有参赛队伍同时进行，具体安排如下：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2238"/>
        <w:gridCol w:w="3975"/>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bottom"/>
          </w:tcPr>
          <w:p>
            <w:pPr>
              <w:pStyle w:val="6"/>
              <w:spacing w:line="364" w:lineRule="auto"/>
              <w:ind w:left="0" w:leftChars="0" w:right="238" w:firstLine="0" w:firstLineChars="0"/>
              <w:jc w:val="center"/>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color w:val="000000" w:themeColor="text1"/>
                <w:spacing w:val="-18"/>
                <w:lang w:eastAsia="en-US"/>
                <w14:textFill>
                  <w14:solidFill>
                    <w14:schemeClr w14:val="tx1"/>
                  </w14:solidFill>
                </w14:textFill>
              </w:rPr>
              <w:t>日期</w:t>
            </w:r>
          </w:p>
        </w:tc>
        <w:tc>
          <w:tcPr>
            <w:tcW w:w="2238" w:type="dxa"/>
            <w:vAlign w:val="bottom"/>
          </w:tcPr>
          <w:p>
            <w:pPr>
              <w:pStyle w:val="6"/>
              <w:spacing w:line="364" w:lineRule="auto"/>
              <w:ind w:left="0" w:leftChars="0" w:right="238" w:firstLine="0" w:firstLineChars="0"/>
              <w:jc w:val="center"/>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color w:val="000000" w:themeColor="text1"/>
                <w:spacing w:val="-18"/>
                <w:lang w:eastAsia="en-US"/>
                <w14:textFill>
                  <w14:solidFill>
                    <w14:schemeClr w14:val="tx1"/>
                  </w14:solidFill>
                </w14:textFill>
              </w:rPr>
              <w:t>时间</w:t>
            </w:r>
          </w:p>
        </w:tc>
        <w:tc>
          <w:tcPr>
            <w:tcW w:w="3975" w:type="dxa"/>
            <w:vAlign w:val="bottom"/>
          </w:tcPr>
          <w:p>
            <w:pPr>
              <w:pStyle w:val="6"/>
              <w:spacing w:line="364" w:lineRule="auto"/>
              <w:ind w:left="0" w:leftChars="0" w:right="238" w:firstLine="0" w:firstLineChars="0"/>
              <w:jc w:val="center"/>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color w:val="000000" w:themeColor="text1"/>
                <w:spacing w:val="-18"/>
                <w:lang w:eastAsia="en-US"/>
                <w14:textFill>
                  <w14:solidFill>
                    <w14:schemeClr w14:val="tx1"/>
                  </w14:solidFill>
                </w14:textFill>
              </w:rPr>
              <w:t>事项</w:t>
            </w:r>
          </w:p>
        </w:tc>
        <w:tc>
          <w:tcPr>
            <w:tcW w:w="1524" w:type="dxa"/>
            <w:vAlign w:val="bottom"/>
          </w:tcPr>
          <w:p>
            <w:pPr>
              <w:pStyle w:val="6"/>
              <w:spacing w:line="364" w:lineRule="auto"/>
              <w:ind w:left="0" w:leftChars="0" w:right="238" w:firstLine="0" w:firstLineChars="0"/>
              <w:jc w:val="center"/>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color w:val="000000" w:themeColor="text1"/>
                <w:spacing w:val="-18"/>
                <w:lang w:eastAsia="en-US"/>
                <w14:textFill>
                  <w14:solidFill>
                    <w14:schemeClr w14:val="tx1"/>
                  </w14:solidFill>
                </w14:textFill>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restart"/>
            <w:vAlign w:val="center"/>
          </w:tcPr>
          <w:p>
            <w:pPr>
              <w:spacing w:line="360" w:lineRule="auto"/>
              <w:rPr>
                <w:rFonts w:hint="eastAsia" w:ascii="仿宋" w:hAnsi="仿宋" w:eastAsia="仿宋" w:cs="仿宋"/>
              </w:rPr>
            </w:pPr>
            <w:r>
              <w:rPr>
                <w:rFonts w:hint="eastAsia" w:ascii="仿宋" w:hAnsi="仿宋" w:eastAsia="仿宋" w:cs="仿宋"/>
              </w:rPr>
              <w:t>11月24日</w:t>
            </w:r>
          </w:p>
          <w:p>
            <w:pPr>
              <w:spacing w:line="360" w:lineRule="auto"/>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rPr>
              <w:t>（周四）</w:t>
            </w:r>
          </w:p>
        </w:tc>
        <w:tc>
          <w:tcPr>
            <w:tcW w:w="2238" w:type="dxa"/>
            <w:vAlign w:val="center"/>
          </w:tcPr>
          <w:p>
            <w:pPr>
              <w:spacing w:line="400" w:lineRule="exact"/>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rPr>
              <w:t>09：00~14：40</w:t>
            </w:r>
          </w:p>
        </w:tc>
        <w:tc>
          <w:tcPr>
            <w:tcW w:w="3975"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rPr>
              <w:t>选手报到</w:t>
            </w:r>
          </w:p>
        </w:tc>
        <w:tc>
          <w:tcPr>
            <w:tcW w:w="1524"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spacing w:line="360" w:lineRule="auto"/>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rPr>
              <w:t>14：40</w:t>
            </w:r>
          </w:p>
        </w:tc>
        <w:tc>
          <w:tcPr>
            <w:tcW w:w="3975"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rPr>
              <w:t>参赛队到住宿宾馆门口集中，乘车前往比赛场地</w:t>
            </w:r>
          </w:p>
        </w:tc>
        <w:tc>
          <w:tcPr>
            <w:tcW w:w="1524"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spacing w:line="360" w:lineRule="auto"/>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rPr>
              <w:t>15：00~15：40</w:t>
            </w:r>
          </w:p>
        </w:tc>
        <w:tc>
          <w:tcPr>
            <w:tcW w:w="3975"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rPr>
              <w:t>参赛选手一次抽签加密、熟悉竞赛场地</w:t>
            </w:r>
          </w:p>
        </w:tc>
        <w:tc>
          <w:tcPr>
            <w:tcW w:w="1524"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spacing w:line="360" w:lineRule="auto"/>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rPr>
              <w:t>15：00~16：00</w:t>
            </w:r>
          </w:p>
        </w:tc>
        <w:tc>
          <w:tcPr>
            <w:tcW w:w="3975"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rPr>
              <w:t>领队会议</w:t>
            </w:r>
          </w:p>
        </w:tc>
        <w:tc>
          <w:tcPr>
            <w:tcW w:w="1524"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spacing w:line="360" w:lineRule="auto"/>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仿宋" w:hAnsi="仿宋" w:eastAsia="仿宋" w:cs="仿宋"/>
                <w:color w:val="000000" w:themeColor="text1"/>
                <w:spacing w:val="-18"/>
                <w:lang w:eastAsia="en-US"/>
                <w14:textFill>
                  <w14:solidFill>
                    <w14:schemeClr w14:val="tx1"/>
                  </w14:solidFill>
                </w14:textFill>
              </w:rPr>
            </w:pPr>
            <w:r>
              <w:rPr>
                <w:rFonts w:hint="eastAsia" w:ascii="仿宋" w:hAnsi="仿宋" w:eastAsia="仿宋" w:cs="仿宋"/>
              </w:rPr>
              <w:t>16：00</w:t>
            </w:r>
          </w:p>
        </w:tc>
        <w:tc>
          <w:tcPr>
            <w:tcW w:w="3975"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rPr>
              <w:t>参赛队集中乘车返回住宿宾馆</w:t>
            </w:r>
          </w:p>
        </w:tc>
        <w:tc>
          <w:tcPr>
            <w:tcW w:w="1524" w:type="dxa"/>
            <w:vAlign w:val="center"/>
          </w:tcPr>
          <w:p>
            <w:pPr>
              <w:spacing w:line="400" w:lineRule="exact"/>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restart"/>
            <w:vAlign w:val="center"/>
          </w:tcPr>
          <w:p>
            <w:pPr>
              <w:spacing w:line="360" w:lineRule="auto"/>
              <w:rPr>
                <w:rFonts w:hint="eastAsia" w:ascii="仿宋" w:hAnsi="仿宋" w:eastAsia="仿宋" w:cs="仿宋"/>
                <w:color w:val="000000" w:themeColor="text1"/>
                <w:spacing w:val="-18"/>
                <w:lang w:eastAsia="zh-CN"/>
                <w14:textFill>
                  <w14:solidFill>
                    <w14:schemeClr w14:val="tx1"/>
                  </w14:solidFill>
                </w14:textFill>
              </w:rPr>
            </w:pPr>
            <w:r>
              <w:rPr>
                <w:rFonts w:hint="eastAsia" w:ascii="仿宋" w:hAnsi="仿宋" w:eastAsia="仿宋" w:cs="仿宋"/>
                <w:sz w:val="28"/>
                <w:szCs w:val="22"/>
                <w:lang w:val="en-US" w:eastAsia="zh-CN" w:bidi="ar-SA"/>
              </w:rPr>
              <w:t>11</w:t>
            </w:r>
            <w:r>
              <w:rPr>
                <w:rFonts w:hint="eastAsia" w:ascii="仿宋" w:hAnsi="仿宋" w:eastAsia="仿宋" w:cs="仿宋"/>
                <w:sz w:val="28"/>
                <w:szCs w:val="22"/>
                <w:lang w:val="en-US" w:eastAsia="en-US" w:bidi="ar-SA"/>
              </w:rPr>
              <w:t>月</w:t>
            </w:r>
            <w:r>
              <w:rPr>
                <w:rFonts w:hint="eastAsia" w:ascii="仿宋" w:hAnsi="仿宋" w:eastAsia="仿宋" w:cs="仿宋"/>
                <w:sz w:val="28"/>
                <w:szCs w:val="22"/>
                <w:lang w:val="en-US" w:eastAsia="zh-CN" w:bidi="ar-SA"/>
              </w:rPr>
              <w:t>25</w:t>
            </w:r>
            <w:r>
              <w:rPr>
                <w:rFonts w:hint="eastAsia" w:ascii="仿宋" w:hAnsi="仿宋" w:eastAsia="仿宋" w:cs="仿宋"/>
                <w:sz w:val="28"/>
                <w:szCs w:val="22"/>
                <w:lang w:val="en-US" w:eastAsia="en-US" w:bidi="ar-SA"/>
              </w:rPr>
              <w:t>日</w:t>
            </w:r>
            <w:r>
              <w:rPr>
                <w:rFonts w:hint="eastAsia" w:ascii="仿宋" w:hAnsi="仿宋" w:eastAsia="仿宋" w:cs="仿宋"/>
                <w:sz w:val="28"/>
                <w:szCs w:val="22"/>
                <w:lang w:val="en-US" w:eastAsia="zh-CN" w:bidi="ar-SA"/>
              </w:rPr>
              <w:t>（周五）</w:t>
            </w: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7：20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第一批参赛队到住宿宾馆门口集中，乘车前往比赛场地</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7：40~</w:t>
            </w:r>
            <w:r>
              <w:rPr>
                <w:rFonts w:ascii="华文仿宋" w:hAnsi="华文仿宋" w:eastAsia="华文仿宋"/>
              </w:rPr>
              <w:t>8</w:t>
            </w:r>
            <w:r>
              <w:rPr>
                <w:rFonts w:hint="eastAsia" w:ascii="华文仿宋" w:hAnsi="华文仿宋" w:eastAsia="华文仿宋"/>
              </w:rPr>
              <w:t>：</w:t>
            </w:r>
            <w:r>
              <w:rPr>
                <w:rFonts w:ascii="华文仿宋" w:hAnsi="华文仿宋" w:eastAsia="华文仿宋"/>
              </w:rPr>
              <w:t>1</w:t>
            </w:r>
            <w:r>
              <w:rPr>
                <w:rFonts w:hint="eastAsia" w:ascii="华文仿宋" w:hAnsi="华文仿宋" w:eastAsia="华文仿宋"/>
              </w:rPr>
              <w:t>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第一批参赛队到侯考区报到，选手二次抽签加密</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ascii="华文仿宋" w:hAnsi="华文仿宋" w:eastAsia="华文仿宋"/>
              </w:rPr>
              <w:t>8</w:t>
            </w:r>
            <w:r>
              <w:rPr>
                <w:rFonts w:hint="eastAsia" w:ascii="华文仿宋" w:hAnsi="华文仿宋" w:eastAsia="华文仿宋"/>
              </w:rPr>
              <w:t>：</w:t>
            </w:r>
            <w:r>
              <w:rPr>
                <w:rFonts w:ascii="华文仿宋" w:hAnsi="华文仿宋" w:eastAsia="华文仿宋"/>
              </w:rPr>
              <w:t>1</w:t>
            </w:r>
            <w:r>
              <w:rPr>
                <w:rFonts w:hint="eastAsia" w:ascii="华文仿宋" w:hAnsi="华文仿宋" w:eastAsia="华文仿宋"/>
              </w:rPr>
              <w:t>0~8：</w:t>
            </w:r>
            <w:r>
              <w:rPr>
                <w:rFonts w:ascii="华文仿宋" w:hAnsi="华文仿宋" w:eastAsia="华文仿宋"/>
              </w:rPr>
              <w:t>3</w:t>
            </w:r>
            <w:r>
              <w:rPr>
                <w:rFonts w:hint="eastAsia" w:ascii="华文仿宋" w:hAnsi="华文仿宋" w:eastAsia="华文仿宋"/>
              </w:rPr>
              <w:t>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第一批参赛队进入竞赛工位并领取竞赛任务书</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8：</w:t>
            </w:r>
            <w:r>
              <w:rPr>
                <w:rFonts w:ascii="华文仿宋" w:hAnsi="华文仿宋" w:eastAsia="华文仿宋"/>
              </w:rPr>
              <w:t>3</w:t>
            </w:r>
            <w:r>
              <w:rPr>
                <w:rFonts w:hint="eastAsia" w:ascii="华文仿宋" w:hAnsi="华文仿宋" w:eastAsia="华文仿宋"/>
              </w:rPr>
              <w:t>0~12：</w:t>
            </w:r>
            <w:r>
              <w:rPr>
                <w:rFonts w:ascii="华文仿宋" w:hAnsi="华文仿宋" w:eastAsia="华文仿宋"/>
              </w:rPr>
              <w:t>3</w:t>
            </w:r>
            <w:r>
              <w:rPr>
                <w:rFonts w:hint="eastAsia" w:ascii="华文仿宋" w:hAnsi="华文仿宋" w:eastAsia="华文仿宋"/>
              </w:rPr>
              <w:t>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第一批参赛队正式比赛</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w:t>
            </w:r>
            <w:r>
              <w:rPr>
                <w:rFonts w:hint="eastAsia" w:ascii="华文仿宋" w:hAnsi="华文仿宋" w:eastAsia="华文仿宋"/>
                <w:lang w:val="en-US" w:eastAsia="zh-CN"/>
              </w:rPr>
              <w:t>1</w:t>
            </w:r>
            <w:r>
              <w:rPr>
                <w:rFonts w:hint="eastAsia" w:ascii="华文仿宋" w:hAnsi="华文仿宋" w:eastAsia="华文仿宋"/>
              </w:rPr>
              <w:t>：</w:t>
            </w:r>
            <w:r>
              <w:rPr>
                <w:rFonts w:hint="eastAsia" w:ascii="华文仿宋" w:hAnsi="华文仿宋" w:eastAsia="华文仿宋"/>
                <w:lang w:val="en-US" w:eastAsia="zh-CN"/>
              </w:rPr>
              <w:t>0</w:t>
            </w:r>
            <w:r>
              <w:rPr>
                <w:rFonts w:hint="eastAsia" w:ascii="华文仿宋" w:hAnsi="华文仿宋" w:eastAsia="华文仿宋"/>
              </w:rPr>
              <w:t>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第二批参赛队到住宿宾馆门口集中，乘车前往比赛场地</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11：30~1</w:t>
            </w:r>
            <w:r>
              <w:rPr>
                <w:rFonts w:hint="eastAsia" w:ascii="华文仿宋" w:hAnsi="华文仿宋" w:eastAsia="华文仿宋"/>
                <w:lang w:val="en-US" w:eastAsia="zh-CN"/>
              </w:rPr>
              <w:t>2</w:t>
            </w:r>
            <w:r>
              <w:rPr>
                <w:rFonts w:hint="eastAsia" w:ascii="华文仿宋" w:hAnsi="华文仿宋" w:eastAsia="华文仿宋"/>
              </w:rPr>
              <w:t>：50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第二批参赛队到侯考区报到、二次抽签加密（竞赛工位号）及封闭</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12：30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第一批参赛队选手比赛结束并集中乘车返回住宿宾馆</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13：00~13：20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第二批参赛队进入竞赛工位并领取竞赛任务书</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13：</w:t>
            </w:r>
            <w:r>
              <w:rPr>
                <w:rFonts w:ascii="华文仿宋" w:hAnsi="华文仿宋" w:eastAsia="华文仿宋"/>
              </w:rPr>
              <w:t>3</w:t>
            </w:r>
            <w:r>
              <w:rPr>
                <w:rFonts w:hint="eastAsia" w:ascii="华文仿宋" w:hAnsi="华文仿宋" w:eastAsia="华文仿宋"/>
              </w:rPr>
              <w:t>0~17：</w:t>
            </w:r>
            <w:r>
              <w:rPr>
                <w:rFonts w:ascii="华文仿宋" w:hAnsi="华文仿宋" w:eastAsia="华文仿宋"/>
              </w:rPr>
              <w:t>3</w:t>
            </w:r>
            <w:r>
              <w:rPr>
                <w:rFonts w:hint="eastAsia" w:ascii="华文仿宋" w:hAnsi="华文仿宋" w:eastAsia="华文仿宋"/>
              </w:rPr>
              <w:t>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第二批参赛队正式比赛</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17：3</w:t>
            </w:r>
            <w:r>
              <w:rPr>
                <w:rFonts w:ascii="华文仿宋" w:hAnsi="华文仿宋" w:eastAsia="华文仿宋"/>
              </w:rPr>
              <w:t>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第二批参赛队选手比赛结束并集中乘车返回住宿宾馆</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Merge w:val="continue"/>
            <w:vAlign w:val="center"/>
          </w:tcPr>
          <w:p>
            <w:pPr>
              <w:pStyle w:val="6"/>
              <w:spacing w:line="364" w:lineRule="auto"/>
              <w:ind w:right="238"/>
              <w:rPr>
                <w:rFonts w:hint="eastAsia" w:ascii="仿宋" w:hAnsi="仿宋" w:eastAsia="仿宋" w:cs="仿宋"/>
                <w:color w:val="000000" w:themeColor="text1"/>
                <w:spacing w:val="-18"/>
                <w14:textFill>
                  <w14:solidFill>
                    <w14:schemeClr w14:val="tx1"/>
                  </w14:solidFill>
                </w14:textFill>
              </w:rPr>
            </w:pPr>
          </w:p>
        </w:tc>
        <w:tc>
          <w:tcPr>
            <w:tcW w:w="2238" w:type="dxa"/>
            <w:vAlign w:val="center"/>
          </w:tcPr>
          <w:p>
            <w:pPr>
              <w:spacing w:line="400" w:lineRule="exact"/>
              <w:rPr>
                <w:rFonts w:hint="eastAsia" w:ascii="华文仿宋" w:hAnsi="华文仿宋" w:eastAsia="华文仿宋" w:cs="仿宋"/>
                <w:sz w:val="28"/>
                <w:szCs w:val="22"/>
                <w:lang w:val="en-US" w:eastAsia="en-US" w:bidi="ar-SA"/>
              </w:rPr>
            </w:pPr>
            <w:r>
              <w:rPr>
                <w:rFonts w:hint="eastAsia" w:ascii="华文仿宋" w:hAnsi="华文仿宋" w:eastAsia="华文仿宋"/>
              </w:rPr>
              <w:t>18：00~22：00</w:t>
            </w:r>
          </w:p>
        </w:tc>
        <w:tc>
          <w:tcPr>
            <w:tcW w:w="3975" w:type="dxa"/>
            <w:vAlign w:val="center"/>
          </w:tcPr>
          <w:p>
            <w:pPr>
              <w:spacing w:line="400" w:lineRule="exact"/>
              <w:rPr>
                <w:rFonts w:hint="eastAsia" w:ascii="华文仿宋" w:hAnsi="华文仿宋" w:eastAsia="华文仿宋" w:cs="仿宋"/>
                <w:sz w:val="28"/>
                <w:szCs w:val="22"/>
                <w:lang w:val="en-US" w:eastAsia="zh-CN" w:bidi="ar-SA"/>
              </w:rPr>
            </w:pPr>
            <w:r>
              <w:rPr>
                <w:rFonts w:hint="eastAsia" w:ascii="华文仿宋" w:hAnsi="华文仿宋" w:eastAsia="华文仿宋"/>
              </w:rPr>
              <w:t>裁判评分</w:t>
            </w:r>
          </w:p>
        </w:tc>
        <w:tc>
          <w:tcPr>
            <w:tcW w:w="1524" w:type="dxa"/>
            <w:vAlign w:val="center"/>
          </w:tcPr>
          <w:p>
            <w:pPr>
              <w:pStyle w:val="6"/>
              <w:spacing w:line="364" w:lineRule="auto"/>
              <w:ind w:left="0" w:leftChars="0" w:right="238" w:firstLine="0" w:firstLineChars="0"/>
              <w:rPr>
                <w:rFonts w:hint="eastAsia" w:ascii="仿宋" w:hAnsi="仿宋" w:eastAsia="仿宋" w:cs="仿宋"/>
                <w:color w:val="000000" w:themeColor="text1"/>
                <w:spacing w:val="-18"/>
                <w14:textFill>
                  <w14:solidFill>
                    <w14:schemeClr w14:val="tx1"/>
                  </w14:solidFill>
                </w14:textFill>
              </w:rPr>
            </w:pPr>
            <w:r>
              <w:rPr>
                <w:rFonts w:hint="eastAsia" w:ascii="仿宋" w:hAnsi="仿宋" w:eastAsia="仿宋" w:cs="仿宋"/>
                <w:color w:val="000000" w:themeColor="text1"/>
                <w:spacing w:val="-18"/>
                <w14:textFill>
                  <w14:solidFill>
                    <w14:schemeClr w14:val="tx1"/>
                  </w14:solidFill>
                </w14:textFill>
              </w:rPr>
              <w:t>竞赛场地</w:t>
            </w: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、竞赛规则</w:t>
      </w:r>
    </w:p>
    <w:p>
      <w:pPr>
        <w:pStyle w:val="16"/>
        <w:numPr>
          <w:ilvl w:val="0"/>
          <w:numId w:val="1"/>
        </w:numPr>
        <w:tabs>
          <w:tab w:val="left" w:pos="1063"/>
        </w:tabs>
        <w:spacing w:before="184" w:line="364" w:lineRule="auto"/>
        <w:ind w:right="99" w:firstLine="559"/>
        <w:rPr>
          <w:color w:val="000000" w:themeColor="text1"/>
          <w14:textFill>
            <w14:solidFill>
              <w14:schemeClr w14:val="tx1"/>
            </w14:solidFill>
          </w14:textFill>
        </w:rPr>
      </w:pPr>
      <w:r>
        <w:rPr>
          <w:color w:val="000000" w:themeColor="text1"/>
          <w:spacing w:val="-12"/>
          <w14:textFill>
            <w14:solidFill>
              <w14:schemeClr w14:val="tx1"/>
            </w14:solidFill>
          </w14:textFill>
        </w:rPr>
        <w:t xml:space="preserve">竞赛所需的硬件设备、系统软件和辅助工具由组委会统一安排， </w:t>
      </w:r>
      <w:r>
        <w:rPr>
          <w:color w:val="000000" w:themeColor="text1"/>
          <w:spacing w:val="-11"/>
          <w14:textFill>
            <w14:solidFill>
              <w14:schemeClr w14:val="tx1"/>
            </w14:solidFill>
          </w14:textFill>
        </w:rPr>
        <w:t xml:space="preserve">参赛选手不得自带硬件设备、软件、移动存储、辅助工具、移动通信 </w:t>
      </w:r>
      <w:r>
        <w:rPr>
          <w:color w:val="000000" w:themeColor="text1"/>
          <w:spacing w:val="-5"/>
          <w14:textFill>
            <w14:solidFill>
              <w14:schemeClr w14:val="tx1"/>
            </w14:solidFill>
          </w14:textFill>
        </w:rPr>
        <w:t>等进入竞赛现场。</w:t>
      </w:r>
    </w:p>
    <w:p>
      <w:pPr>
        <w:pStyle w:val="16"/>
        <w:numPr>
          <w:ilvl w:val="0"/>
          <w:numId w:val="1"/>
        </w:numPr>
        <w:tabs>
          <w:tab w:val="left" w:pos="1063"/>
        </w:tabs>
        <w:spacing w:line="364" w:lineRule="auto"/>
        <w:ind w:firstLine="559"/>
        <w:jc w:val="both"/>
        <w:rPr>
          <w:color w:val="000000" w:themeColor="text1"/>
          <w14:textFill>
            <w14:solidFill>
              <w14:schemeClr w14:val="tx1"/>
            </w14:solidFill>
          </w14:textFill>
        </w:rPr>
      </w:pPr>
      <w:r>
        <w:rPr>
          <w:color w:val="000000" w:themeColor="text1"/>
          <w:spacing w:val="-1"/>
          <w14:textFill>
            <w14:solidFill>
              <w14:schemeClr w14:val="tx1"/>
            </w14:solidFill>
          </w14:textFill>
        </w:rPr>
        <w:t>竞赛工位通过抽签决定（承办校抽签顺序安排在最后</w:t>
      </w:r>
      <w:r>
        <w:rPr>
          <w:color w:val="000000" w:themeColor="text1"/>
          <w:spacing w:val="-140"/>
          <w14:textFill>
            <w14:solidFill>
              <w14:schemeClr w14:val="tx1"/>
            </w14:solidFill>
          </w14:textFill>
        </w:rPr>
        <w:t>）</w:t>
      </w:r>
      <w:r>
        <w:rPr>
          <w:color w:val="000000" w:themeColor="text1"/>
          <w14:textFill>
            <w14:solidFill>
              <w14:schemeClr w14:val="tx1"/>
            </w14:solidFill>
          </w14:textFill>
        </w:rPr>
        <w:t>，竞赛</w:t>
      </w:r>
      <w:r>
        <w:rPr>
          <w:color w:val="000000" w:themeColor="text1"/>
          <w:spacing w:val="-9"/>
          <w14:textFill>
            <w14:solidFill>
              <w14:schemeClr w14:val="tx1"/>
            </w14:solidFill>
          </w14:textFill>
        </w:rPr>
        <w:t>期间参赛选手不得离开竞赛工位。参赛队自行决定选手分工、工作程</w:t>
      </w:r>
      <w:r>
        <w:rPr>
          <w:color w:val="000000" w:themeColor="text1"/>
          <w:spacing w:val="-3"/>
          <w14:textFill>
            <w14:solidFill>
              <w14:schemeClr w14:val="tx1"/>
            </w14:solidFill>
          </w14:textFill>
        </w:rPr>
        <w:t>序和时间安排。</w:t>
      </w:r>
    </w:p>
    <w:p>
      <w:pPr>
        <w:pStyle w:val="16"/>
        <w:numPr>
          <w:ilvl w:val="0"/>
          <w:numId w:val="1"/>
        </w:numPr>
        <w:tabs>
          <w:tab w:val="left" w:pos="1063"/>
        </w:tabs>
        <w:spacing w:line="364" w:lineRule="auto"/>
        <w:ind w:firstLine="559"/>
        <w:jc w:val="both"/>
        <w:rPr>
          <w:color w:val="000000" w:themeColor="text1"/>
          <w14:textFill>
            <w14:solidFill>
              <w14:schemeClr w14:val="tx1"/>
            </w14:solidFill>
          </w14:textFill>
        </w:rPr>
      </w:pPr>
      <w:r>
        <w:rPr>
          <w:color w:val="000000" w:themeColor="text1"/>
          <w:spacing w:val="-7"/>
          <w14:textFill>
            <w14:solidFill>
              <w14:schemeClr w14:val="tx1"/>
            </w14:solidFill>
          </w14:textFill>
        </w:rPr>
        <w:t xml:space="preserve">参赛选手须在赛前 </w:t>
      </w:r>
      <w:r>
        <w:rPr>
          <w:color w:val="000000" w:themeColor="text1"/>
          <w14:textFill>
            <w14:solidFill>
              <w14:schemeClr w14:val="tx1"/>
            </w14:solidFill>
          </w14:textFill>
        </w:rPr>
        <w:t>15</w:t>
      </w:r>
      <w:r>
        <w:rPr>
          <w:color w:val="000000" w:themeColor="text1"/>
          <w:spacing w:val="-8"/>
          <w14:textFill>
            <w14:solidFill>
              <w14:schemeClr w14:val="tx1"/>
            </w14:solidFill>
          </w14:textFill>
        </w:rPr>
        <w:t xml:space="preserve"> 分钟进入赛场，入场必须佩戴参赛证并</w:t>
      </w:r>
      <w:r>
        <w:rPr>
          <w:color w:val="000000" w:themeColor="text1"/>
          <w:spacing w:val="-13"/>
          <w14:textFill>
            <w14:solidFill>
              <w14:schemeClr w14:val="tx1"/>
            </w14:solidFill>
          </w14:textFill>
        </w:rPr>
        <w:t>出示学生证。按工位号入座，检查比赛所需一切物品齐全后由参赛队</w:t>
      </w:r>
      <w:r>
        <w:rPr>
          <w:color w:val="000000" w:themeColor="text1"/>
          <w:spacing w:val="-5"/>
          <w14:textFill>
            <w14:solidFill>
              <w14:schemeClr w14:val="tx1"/>
            </w14:solidFill>
          </w14:textFill>
        </w:rPr>
        <w:t>员签字确认。竞赛任务书发放后参赛正式开始。</w:t>
      </w:r>
    </w:p>
    <w:p>
      <w:pPr>
        <w:pStyle w:val="16"/>
        <w:numPr>
          <w:ilvl w:val="0"/>
          <w:numId w:val="1"/>
        </w:numPr>
        <w:tabs>
          <w:tab w:val="left" w:pos="1063"/>
        </w:tabs>
        <w:spacing w:line="360" w:lineRule="auto"/>
        <w:ind w:right="238" w:firstLine="559"/>
        <w:rPr>
          <w:color w:val="000000" w:themeColor="text1"/>
          <w14:textFill>
            <w14:solidFill>
              <w14:schemeClr w14:val="tx1"/>
            </w14:solidFill>
          </w14:textFill>
        </w:rPr>
      </w:pPr>
      <w:r>
        <w:rPr>
          <w:color w:val="000000" w:themeColor="text1"/>
          <w:spacing w:val="-18"/>
          <w14:textFill>
            <w14:solidFill>
              <w14:schemeClr w14:val="tx1"/>
            </w14:solidFill>
          </w14:textFill>
        </w:rPr>
        <w:t xml:space="preserve">竞赛过程中，选手须严格遵守操作规程，确保人身及设备安全， </w:t>
      </w:r>
      <w:r>
        <w:rPr>
          <w:color w:val="000000" w:themeColor="text1"/>
          <w:spacing w:val="-11"/>
          <w14:textFill>
            <w14:solidFill>
              <w14:schemeClr w14:val="tx1"/>
            </w14:solidFill>
          </w14:textFill>
        </w:rPr>
        <w:t>并接受裁判员的监督和警示。若因选手因素造成设备故障或损坏，无法继续竞赛，裁判长有权决定终止该队竞赛；若因非选手个人因素造</w:t>
      </w:r>
      <w:r>
        <w:rPr>
          <w:color w:val="000000" w:themeColor="text1"/>
          <w:spacing w:val="-5"/>
          <w14:textFill>
            <w14:solidFill>
              <w14:schemeClr w14:val="tx1"/>
            </w14:solidFill>
          </w14:textFill>
        </w:rPr>
        <w:t>成设备故障，由裁判长视具体情况做出裁决。</w:t>
      </w:r>
    </w:p>
    <w:p>
      <w:pPr>
        <w:pStyle w:val="16"/>
        <w:numPr>
          <w:ilvl w:val="0"/>
          <w:numId w:val="1"/>
        </w:numPr>
        <w:tabs>
          <w:tab w:val="left" w:pos="1063"/>
        </w:tabs>
        <w:spacing w:line="360" w:lineRule="auto"/>
        <w:ind w:right="375" w:firstLine="559"/>
        <w:jc w:val="both"/>
        <w:rPr>
          <w:color w:val="000000" w:themeColor="text1"/>
          <w14:textFill>
            <w14:solidFill>
              <w14:schemeClr w14:val="tx1"/>
            </w14:solidFill>
          </w14:textFill>
        </w:rPr>
      </w:pPr>
      <w:r>
        <w:rPr>
          <w:color w:val="000000" w:themeColor="text1"/>
          <w:spacing w:val="-10"/>
          <w14:textFill>
            <w14:solidFill>
              <w14:schemeClr w14:val="tx1"/>
            </w14:solidFill>
          </w14:textFill>
        </w:rPr>
        <w:t>竞赛结束</w:t>
      </w:r>
      <w:r>
        <w:rPr>
          <w:color w:val="000000" w:themeColor="text1"/>
          <w:spacing w:val="-3"/>
          <w14:textFill>
            <w14:solidFill>
              <w14:schemeClr w14:val="tx1"/>
            </w14:solidFill>
          </w14:textFill>
        </w:rPr>
        <w:t>（</w:t>
      </w:r>
      <w:r>
        <w:rPr>
          <w:color w:val="000000" w:themeColor="text1"/>
          <w:spacing w:val="-2"/>
          <w14:textFill>
            <w14:solidFill>
              <w14:schemeClr w14:val="tx1"/>
            </w14:solidFill>
          </w14:textFill>
        </w:rPr>
        <w:t>或提前完成</w:t>
      </w:r>
      <w:r>
        <w:rPr>
          <w:color w:val="000000" w:themeColor="text1"/>
          <w:spacing w:val="-34"/>
          <w14:textFill>
            <w14:solidFill>
              <w14:schemeClr w14:val="tx1"/>
            </w14:solidFill>
          </w14:textFill>
        </w:rPr>
        <w:t>）</w:t>
      </w:r>
      <w:r>
        <w:rPr>
          <w:color w:val="000000" w:themeColor="text1"/>
          <w:spacing w:val="-7"/>
          <w14:textFill>
            <w14:solidFill>
              <w14:schemeClr w14:val="tx1"/>
            </w14:solidFill>
          </w14:textFill>
        </w:rPr>
        <w:t>后，参赛队要确认已成功提交所有竞</w:t>
      </w:r>
      <w:r>
        <w:rPr>
          <w:color w:val="000000" w:themeColor="text1"/>
          <w:spacing w:val="-11"/>
          <w14:textFill>
            <w14:solidFill>
              <w14:schemeClr w14:val="tx1"/>
            </w14:solidFill>
          </w14:textFill>
        </w:rPr>
        <w:t>赛文档，裁判员与参赛队队长一起签字确认，参赛队在确认后不得再</w:t>
      </w:r>
      <w:r>
        <w:rPr>
          <w:color w:val="000000" w:themeColor="text1"/>
          <w:spacing w:val="-5"/>
          <w14:textFill>
            <w14:solidFill>
              <w14:schemeClr w14:val="tx1"/>
            </w14:solidFill>
          </w14:textFill>
        </w:rPr>
        <w:t>进行任何操作。</w:t>
      </w:r>
    </w:p>
    <w:p>
      <w:pPr>
        <w:pStyle w:val="16"/>
        <w:numPr>
          <w:ilvl w:val="0"/>
          <w:numId w:val="1"/>
        </w:numPr>
        <w:tabs>
          <w:tab w:val="left" w:pos="1063"/>
        </w:tabs>
        <w:spacing w:line="360" w:lineRule="auto"/>
        <w:ind w:left="1062" w:right="0"/>
        <w:rPr>
          <w:color w:val="000000" w:themeColor="text1"/>
          <w14:textFill>
            <w14:solidFill>
              <w14:schemeClr w14:val="tx1"/>
            </w14:solidFill>
          </w14:textFill>
        </w:rPr>
      </w:pPr>
      <w:r>
        <w:rPr>
          <w:color w:val="000000" w:themeColor="text1"/>
          <w:spacing w:val="-1"/>
          <w14:textFill>
            <w14:solidFill>
              <w14:schemeClr w14:val="tx1"/>
            </w14:solidFill>
          </w14:textFill>
        </w:rPr>
        <w:t>比赛过程中或比赛后发现问题（包括反映比赛或其它问题</w:t>
      </w:r>
      <w:r>
        <w:rPr>
          <w:color w:val="000000" w:themeColor="text1"/>
          <w:spacing w:val="-140"/>
          <w14:textFill>
            <w14:solidFill>
              <w14:schemeClr w14:val="tx1"/>
            </w14:solidFill>
          </w14:textFill>
        </w:rPr>
        <w:t>）</w:t>
      </w:r>
      <w:r>
        <w:rPr>
          <w:color w:val="000000" w:themeColor="text1"/>
          <w14:textFill>
            <w14:solidFill>
              <w14:schemeClr w14:val="tx1"/>
            </w14:solidFill>
          </w14:textFill>
        </w:rPr>
        <w:t>，</w:t>
      </w:r>
    </w:p>
    <w:p>
      <w:pPr>
        <w:pStyle w:val="6"/>
        <w:spacing w:before="44" w:line="360" w:lineRule="auto"/>
        <w:ind w:right="375" w:firstLine="0"/>
        <w:rPr>
          <w:color w:val="000000" w:themeColor="text1"/>
          <w14:textFill>
            <w14:solidFill>
              <w14:schemeClr w14:val="tx1"/>
            </w14:solidFill>
          </w14:textFill>
        </w:rPr>
      </w:pPr>
      <w:r>
        <w:rPr>
          <w:color w:val="000000" w:themeColor="text1"/>
          <w:spacing w:val="-8"/>
          <w14:textFill>
            <w14:solidFill>
              <w14:schemeClr w14:val="tx1"/>
            </w14:solidFill>
          </w14:textFill>
        </w:rPr>
        <w:t>应由领队在当天向组委会提出书面陈述。领队、指导教师、选手不得</w:t>
      </w:r>
      <w:r>
        <w:rPr>
          <w:color w:val="000000" w:themeColor="text1"/>
          <w:spacing w:val="-3"/>
          <w14:textFill>
            <w14:solidFill>
              <w14:schemeClr w14:val="tx1"/>
            </w14:solidFill>
          </w14:textFill>
        </w:rPr>
        <w:t>与比赛工作人员直接交涉。</w:t>
      </w:r>
      <w:r>
        <w:rPr>
          <w:color w:val="000000" w:themeColor="text1"/>
          <w14:textFill>
            <w14:solidFill>
              <w14:schemeClr w14:val="tx1"/>
            </w14:solidFill>
          </w14:textFill>
        </w:rPr>
        <w:t>其它未尽事宜，将在赛前向各领队做详细说明。</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竞赛环境</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竞赛环境要求有独立的竞赛空间，配备主辅监控机位，每个竞赛工位配备220V电源和网络，并配备竞赛要求的计算机和相关的软硬件，具体要求另行通知。</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八</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技术规范</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网络工程在设计、组建信息系统过程中主要有以下 9 项国家标准，参赛代表队在实施竞赛项目中要求遵循如下规范：</w:t>
      </w:r>
    </w:p>
    <w:tbl>
      <w:tblPr>
        <w:tblStyle w:val="15"/>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720"/>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序号</w:t>
            </w:r>
          </w:p>
        </w:tc>
        <w:tc>
          <w:tcPr>
            <w:tcW w:w="3720"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标准号</w:t>
            </w:r>
          </w:p>
        </w:tc>
        <w:tc>
          <w:tcPr>
            <w:tcW w:w="4820"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中文标准名称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1</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WSC2022_WSO554_Cyber_Security</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《世界技能大赛网络安全项目职业标准》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2</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4-04-04-02</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《网络与信息安全管理员》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3</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4-04-04-04</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《信息安全测试员》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4</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GB/T 22239-2019</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《信息安全技术网络安全等级保护基本要求》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5</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GB/T 28448-2019</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《信息安全技术网络安全等级保护测评要求》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6</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GB/T 36627-2018</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《信息安全技术网络安全等级保护测试评估技术指南》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7</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GB</w:t>
            </w:r>
            <w:r>
              <w:rPr>
                <w:rFonts w:hint="eastAsia"/>
                <w:color w:val="000000" w:themeColor="text1"/>
                <w:sz w:val="24"/>
                <w:szCs w:val="21"/>
                <w14:textFill>
                  <w14:solidFill>
                    <w14:schemeClr w14:val="tx1"/>
                  </w14:solidFill>
                </w14:textFill>
              </w:rPr>
              <w:t>/</w:t>
            </w:r>
            <w:r>
              <w:rPr>
                <w:color w:val="000000" w:themeColor="text1"/>
                <w:sz w:val="24"/>
                <w:szCs w:val="21"/>
                <w14:textFill>
                  <w14:solidFill>
                    <w14:schemeClr w14:val="tx1"/>
                  </w14:solidFill>
                </w14:textFill>
              </w:rPr>
              <w:t>T 31509-2015</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《信息安全技术信息安全风险评估实施指南》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8</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ISO17799</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《信息安全管理实施细则》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704" w:type="dxa"/>
            <w:vAlign w:val="center"/>
          </w:tcPr>
          <w:p>
            <w:pPr>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9</w:t>
            </w:r>
          </w:p>
        </w:tc>
        <w:tc>
          <w:tcPr>
            <w:tcW w:w="37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ISO/IEC 27001</w:t>
            </w:r>
          </w:p>
        </w:tc>
        <w:tc>
          <w:tcPr>
            <w:tcW w:w="4820" w:type="dxa"/>
            <w:vAlign w:val="center"/>
          </w:tcPr>
          <w:p>
            <w:pP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《信息安全管理体系》</w:t>
            </w:r>
          </w:p>
        </w:tc>
      </w:tr>
    </w:tbl>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赛项涉及知识点与技能点如下</w:t>
      </w:r>
    </w:p>
    <w:tbl>
      <w:tblPr>
        <w:tblStyle w:val="15"/>
        <w:tblW w:w="91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1390"/>
        <w:gridCol w:w="1702"/>
        <w:gridCol w:w="5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97"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1390"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内容模块</w:t>
            </w: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具体内容</w:t>
            </w:r>
          </w:p>
        </w:tc>
        <w:tc>
          <w:tcPr>
            <w:tcW w:w="5392"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697"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第一阶段</w:t>
            </w:r>
          </w:p>
        </w:tc>
        <w:tc>
          <w:tcPr>
            <w:tcW w:w="1390"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网络平台搭建</w:t>
            </w: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网络规划</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VLSM、CIDR 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基础网络</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VLAN、WLAN、STP、SVI、RIPV2、OSPF、BGP、IPv6、组播等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网络安全设备配置与防护</w:t>
            </w:r>
          </w:p>
        </w:tc>
        <w:tc>
          <w:tcPr>
            <w:tcW w:w="1702"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访问控制密码学和VPN</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保护网络应用安全，实现防 DOS、DDOS 攻击、实现包过滤、应用层代理、状态化包过滤、URL 过滤、基于 IP、协议、应用、用户角色、自定义数据流和时间等方式的带宽控制，QOS 策略等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Merge w:val="continue"/>
            <w:vAlign w:val="center"/>
          </w:tcPr>
          <w:p>
            <w:pPr>
              <w:jc w:val="center"/>
              <w:rPr>
                <w:color w:val="000000" w:themeColor="text1"/>
                <w:sz w:val="24"/>
                <w:szCs w:val="24"/>
                <w14:textFill>
                  <w14:solidFill>
                    <w14:schemeClr w14:val="tx1"/>
                  </w14:solidFill>
                </w14:textFill>
              </w:rPr>
            </w:pP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密码学基本理论</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L2L IPSec VPN</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GRE Over IPSec L2TP Over IPSec IKE</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PSK</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IKE：PKI</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SSL VPN 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数据分析</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能够利用日志系统对网络内的数据进行日志分析，把控网络安全等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7"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第二阶段</w:t>
            </w:r>
          </w:p>
        </w:tc>
        <w:tc>
          <w:tcPr>
            <w:tcW w:w="1390" w:type="dxa"/>
            <w:vMerge w:val="restart"/>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网络安全事件响应、数字取证调查、应用程序安全</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夺旗挑战CTF（网络安全渗透）</w:t>
            </w: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网络安全事件响应</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操作系统日志</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应用系统/中间件日志</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系统进程分析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系统安全漏洞及加固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数字取证调查</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内存镜像分析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编码转换、加解密、数据隐写</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文件分析取证</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网络流量包分析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应用程序安全</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程序逆向分析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移动应用程序代码分析</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恶意脚本代码分析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697" w:type="dxa"/>
            <w:vMerge w:val="continue"/>
            <w:vAlign w:val="center"/>
          </w:tcPr>
          <w:p>
            <w:pPr>
              <w:jc w:val="center"/>
              <w:rPr>
                <w:color w:val="000000" w:themeColor="text1"/>
                <w:sz w:val="24"/>
                <w:szCs w:val="24"/>
                <w14:textFill>
                  <w14:solidFill>
                    <w14:schemeClr w14:val="tx1"/>
                  </w14:solidFill>
                </w14:textFill>
              </w:rPr>
            </w:pPr>
          </w:p>
        </w:tc>
        <w:tc>
          <w:tcPr>
            <w:tcW w:w="1390" w:type="dxa"/>
            <w:vMerge w:val="continue"/>
            <w:vAlign w:val="center"/>
          </w:tcPr>
          <w:p>
            <w:pPr>
              <w:jc w:val="center"/>
              <w:rPr>
                <w:color w:val="000000" w:themeColor="text1"/>
                <w:sz w:val="24"/>
                <w:szCs w:val="24"/>
                <w14:textFill>
                  <w14:solidFill>
                    <w14:schemeClr w14:val="tx1"/>
                  </w14:solidFill>
                </w14:textFill>
              </w:rPr>
            </w:pPr>
          </w:p>
        </w:tc>
        <w:tc>
          <w:tcPr>
            <w:tcW w:w="170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参赛队针对预设的环境进行渗透测试</w:t>
            </w:r>
          </w:p>
        </w:tc>
        <w:tc>
          <w:tcPr>
            <w:tcW w:w="5392" w:type="dxa"/>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SQL 注入</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文件上传 </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命令执行 </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缓冲区溢出</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信息收集</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逆向文件分析 </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二进制漏洞利用</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应用服务漏洞利用</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操作系统漏洞利用</w:t>
            </w: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密码学分析</w:t>
            </w:r>
          </w:p>
        </w:tc>
      </w:tr>
    </w:tbl>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竞赛设备技术平台</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1、竞赛软件：</w:t>
      </w:r>
      <w:r>
        <w:rPr>
          <w:color w:val="000000" w:themeColor="text1"/>
          <w14:textFill>
            <w14:solidFill>
              <w14:schemeClr w14:val="tx1"/>
            </w14:solidFill>
          </w14:textFill>
        </w:rPr>
        <w:t>赛项执委会提供个人计算机（安装 Windows 操作系统），用以组建竞赛操作环境</w:t>
      </w:r>
      <w:r>
        <w:rPr>
          <w:rFonts w:hint="eastAsia"/>
          <w:color w:val="000000" w:themeColor="text1"/>
          <w14:textFill>
            <w14:solidFill>
              <w14:schemeClr w14:val="tx1"/>
            </w14:solidFill>
          </w14:textFill>
        </w:rPr>
        <w:t>。</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4205"/>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78" w:type="dxa"/>
            <w:shd w:val="clear" w:color="auto" w:fill="F1F1F1"/>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4205" w:type="dxa"/>
            <w:shd w:val="clear" w:color="auto" w:fill="F1F1F1"/>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软件</w:t>
            </w:r>
          </w:p>
        </w:tc>
        <w:tc>
          <w:tcPr>
            <w:tcW w:w="3259" w:type="dxa"/>
            <w:shd w:val="clear" w:color="auto" w:fill="F1F1F1"/>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Windows 10</w:t>
            </w:r>
          </w:p>
        </w:tc>
        <w:tc>
          <w:tcPr>
            <w:tcW w:w="325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Microsoft Office</w:t>
            </w:r>
          </w:p>
        </w:tc>
        <w:tc>
          <w:tcPr>
            <w:tcW w:w="325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文档编辑工具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78"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4205"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Secure</w:t>
            </w:r>
            <w:r>
              <w:rPr>
                <w:color w:val="000000" w:themeColor="text1"/>
                <w:sz w:val="24"/>
                <w:szCs w:val="24"/>
                <w14:textFill>
                  <w14:solidFill>
                    <w14:schemeClr w14:val="tx1"/>
                  </w14:solidFill>
                </w14:textFill>
              </w:rPr>
              <w:t>CRT</w:t>
            </w:r>
          </w:p>
        </w:tc>
        <w:tc>
          <w:tcPr>
            <w:tcW w:w="325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设备调试连接工具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VMwareWorkstation</w:t>
            </w:r>
          </w:p>
        </w:tc>
        <w:tc>
          <w:tcPr>
            <w:tcW w:w="325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虚拟机运行环境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Wireshark</w:t>
            </w:r>
          </w:p>
        </w:tc>
        <w:tc>
          <w:tcPr>
            <w:tcW w:w="325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抓包软件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Kali</w:t>
            </w:r>
          </w:p>
        </w:tc>
        <w:tc>
          <w:tcPr>
            <w:tcW w:w="3259" w:type="dxa"/>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渗透测试操作系统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Windows Server 2003\2008</w:t>
            </w:r>
          </w:p>
        </w:tc>
        <w:tc>
          <w:tcPr>
            <w:tcW w:w="3259"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w:t>
            </w:r>
            <w:r>
              <w:rPr>
                <w:rFonts w:hint="eastAsia"/>
                <w:color w:val="000000" w:themeColor="text1"/>
                <w:sz w:val="24"/>
                <w:szCs w:val="24"/>
                <w14:textFill>
                  <w14:solidFill>
                    <w14:schemeClr w14:val="tx1"/>
                  </w14:solidFill>
                </w14:textFill>
              </w:rPr>
              <w:t>indows服务器操作系统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878"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8</w:t>
            </w:r>
          </w:p>
        </w:tc>
        <w:tc>
          <w:tcPr>
            <w:tcW w:w="4205"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Linux CentOS</w:t>
            </w:r>
          </w:p>
        </w:tc>
        <w:tc>
          <w:tcPr>
            <w:tcW w:w="3259" w:type="dxa"/>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L</w:t>
            </w:r>
            <w:r>
              <w:rPr>
                <w:rFonts w:hint="eastAsia"/>
                <w:color w:val="000000" w:themeColor="text1"/>
                <w:sz w:val="24"/>
                <w:szCs w:val="24"/>
                <w14:textFill>
                  <w14:solidFill>
                    <w14:schemeClr w14:val="tx1"/>
                  </w14:solidFill>
                </w14:textFill>
              </w:rPr>
              <w:t>inux服务器操作系统</w:t>
            </w:r>
          </w:p>
        </w:tc>
      </w:tr>
    </w:tbl>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竞赛设备清单</w:t>
      </w:r>
    </w:p>
    <w:p>
      <w:pPr>
        <w:pStyle w:val="6"/>
        <w:spacing w:before="4"/>
        <w:ind w:left="0" w:right="0" w:firstLine="0"/>
        <w:rPr>
          <w:b/>
          <w:color w:val="000000" w:themeColor="text1"/>
          <w:sz w:val="14"/>
          <w14:textFill>
            <w14:solidFill>
              <w14:schemeClr w14:val="tx1"/>
            </w14:solidFill>
          </w14:textFill>
        </w:rPr>
      </w:pP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1824"/>
        <w:gridCol w:w="2496"/>
        <w:gridCol w:w="1061"/>
        <w:gridCol w:w="2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2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型号</w:t>
            </w:r>
          </w:p>
        </w:tc>
        <w:tc>
          <w:tcPr>
            <w:tcW w:w="106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数量</w:t>
            </w:r>
          </w:p>
        </w:tc>
        <w:tc>
          <w:tcPr>
            <w:tcW w:w="2539"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72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三层虚拟化</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交换机</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CS6200-28X-EI（</w:t>
            </w:r>
            <w:r>
              <w:rPr>
                <w:color w:val="000000" w:themeColor="text1"/>
                <w:sz w:val="24"/>
                <w:szCs w:val="24"/>
                <w14:textFill>
                  <w14:solidFill>
                    <w14:schemeClr w14:val="tx1"/>
                  </w14:solidFill>
                </w14:textFill>
              </w:rPr>
              <w:t>R2.0</w:t>
            </w:r>
            <w:r>
              <w:rPr>
                <w:rFonts w:hint="eastAsia"/>
                <w:color w:val="000000" w:themeColor="text1"/>
                <w:sz w:val="24"/>
                <w:szCs w:val="24"/>
                <w14:textFill>
                  <w14:solidFill>
                    <w14:schemeClr w14:val="tx1"/>
                  </w14:solidFill>
                </w14:textFill>
              </w:rPr>
              <w:t>）</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竞赛环境核心交换机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72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防火墙</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DCFW-1800E-N3002</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竞赛出口安全网关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72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web 应用防</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火墙</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DCFW-1800-WAF-P</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保护 web 服务器不受</w:t>
            </w:r>
          </w:p>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外界的攻击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72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网络日志系统</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DCBC-NetLog</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记录关键应用的操作人、操作时间，具有很强的不可否认性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2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无线交换机</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DCWS-6028</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Merge w:val="restart"/>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无线网络配置、无线网络安全配置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72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无线接入点</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WL8200-I2</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Merge w:val="continue"/>
            <w:vAlign w:val="center"/>
          </w:tcPr>
          <w:p>
            <w:pP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72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P</w:t>
            </w:r>
            <w:r>
              <w:rPr>
                <w:color w:val="000000" w:themeColor="text1"/>
                <w:sz w:val="24"/>
                <w:szCs w:val="24"/>
                <w14:textFill>
                  <w14:solidFill>
                    <w14:schemeClr w14:val="tx1"/>
                  </w14:solidFill>
                </w14:textFill>
              </w:rPr>
              <w:t>OE</w:t>
            </w:r>
            <w:r>
              <w:rPr>
                <w:rFonts w:hint="eastAsia"/>
                <w:color w:val="000000" w:themeColor="text1"/>
                <w:sz w:val="24"/>
                <w:szCs w:val="24"/>
                <w14:textFill>
                  <w14:solidFill>
                    <w14:schemeClr w14:val="tx1"/>
                  </w14:solidFill>
                </w14:textFill>
              </w:rPr>
              <w:t>供电模块</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神州数码：</w:t>
            </w:r>
          </w:p>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DCWL-PoEINJ-G+</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台/组</w:t>
            </w:r>
          </w:p>
        </w:tc>
        <w:tc>
          <w:tcPr>
            <w:tcW w:w="2539" w:type="dxa"/>
            <w:vMerge w:val="continue"/>
            <w:vAlign w:val="center"/>
          </w:tcPr>
          <w:p>
            <w:pP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72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8</w:t>
            </w:r>
          </w:p>
        </w:tc>
        <w:tc>
          <w:tcPr>
            <w:tcW w:w="182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PC 机</w:t>
            </w:r>
          </w:p>
        </w:tc>
        <w:tc>
          <w:tcPr>
            <w:tcW w:w="249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多核 CPU，主频 </w:t>
            </w: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G、内存</w:t>
            </w:r>
            <w:r>
              <w:rPr>
                <w:color w:val="000000" w:themeColor="text1"/>
                <w:sz w:val="24"/>
                <w:szCs w:val="24"/>
                <w14:textFill>
                  <w14:solidFill>
                    <w14:schemeClr w14:val="tx1"/>
                  </w14:solidFill>
                </w14:textFill>
              </w:rPr>
              <w:t>8</w:t>
            </w:r>
            <w:r>
              <w:rPr>
                <w:rFonts w:hint="eastAsia"/>
                <w:color w:val="000000" w:themeColor="text1"/>
                <w:sz w:val="24"/>
                <w:szCs w:val="24"/>
                <w14:textFill>
                  <w14:solidFill>
                    <w14:schemeClr w14:val="tx1"/>
                  </w14:solidFill>
                </w14:textFill>
              </w:rPr>
              <w:t>G 或以上</w:t>
            </w:r>
          </w:p>
        </w:tc>
        <w:tc>
          <w:tcPr>
            <w:tcW w:w="1061"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台/组</w:t>
            </w:r>
          </w:p>
        </w:tc>
        <w:tc>
          <w:tcPr>
            <w:tcW w:w="2539"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客户机</w:t>
            </w: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九</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成绩评定</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（一）分值比例</w:t>
      </w:r>
    </w:p>
    <w:p>
      <w:pPr>
        <w:pStyle w:val="6"/>
        <w:spacing w:before="2"/>
        <w:ind w:left="0" w:right="0" w:firstLine="0"/>
        <w:rPr>
          <w:b/>
          <w:color w:val="000000" w:themeColor="text1"/>
          <w:sz w:val="14"/>
          <w14:textFill>
            <w14:solidFill>
              <w14:schemeClr w14:val="tx1"/>
            </w14:solidFill>
          </w14:textFill>
        </w:rPr>
      </w:pPr>
    </w:p>
    <w:tbl>
      <w:tblPr>
        <w:tblStyle w:val="15"/>
        <w:tblW w:w="0" w:type="auto"/>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4233"/>
        <w:gridCol w:w="2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59"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序号</w:t>
            </w:r>
          </w:p>
        </w:tc>
        <w:tc>
          <w:tcPr>
            <w:tcW w:w="423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竞赛项目</w:t>
            </w:r>
          </w:p>
        </w:tc>
        <w:tc>
          <w:tcPr>
            <w:tcW w:w="2289"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分值比例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659" w:type="dxa"/>
            <w:vAlign w:val="center"/>
          </w:tcPr>
          <w:p>
            <w:pPr>
              <w:jc w:val="center"/>
              <w:rPr>
                <w:color w:val="000000" w:themeColor="text1"/>
                <w:sz w:val="24"/>
                <w:szCs w:val="24"/>
                <w14:textFill>
                  <w14:solidFill>
                    <w14:schemeClr w14:val="tx1"/>
                  </w14:solidFill>
                </w14:textFill>
              </w:rPr>
            </w:pPr>
            <w:bookmarkStart w:id="0" w:name="1"/>
            <w:bookmarkEnd w:id="0"/>
            <w:r>
              <w:rPr>
                <w:color w:val="000000" w:themeColor="text1"/>
                <w:sz w:val="24"/>
                <w:szCs w:val="24"/>
                <w14:textFill>
                  <w14:solidFill>
                    <w14:schemeClr w14:val="tx1"/>
                  </w14:solidFill>
                </w14:textFill>
              </w:rPr>
              <w:t>1</w:t>
            </w:r>
          </w:p>
        </w:tc>
        <w:tc>
          <w:tcPr>
            <w:tcW w:w="423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平台搭建与配置</w:t>
            </w:r>
          </w:p>
        </w:tc>
        <w:tc>
          <w:tcPr>
            <w:tcW w:w="2289"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1659" w:type="dxa"/>
            <w:vAlign w:val="center"/>
          </w:tcPr>
          <w:p>
            <w:pPr>
              <w:jc w:val="center"/>
              <w:rPr>
                <w:color w:val="000000" w:themeColor="text1"/>
                <w:sz w:val="24"/>
                <w:szCs w:val="24"/>
                <w14:textFill>
                  <w14:solidFill>
                    <w14:schemeClr w14:val="tx1"/>
                  </w14:solidFill>
                </w14:textFill>
              </w:rPr>
            </w:pPr>
            <w:bookmarkStart w:id="1" w:name="2"/>
            <w:bookmarkEnd w:id="1"/>
            <w:r>
              <w:rPr>
                <w:color w:val="000000" w:themeColor="text1"/>
                <w:sz w:val="24"/>
                <w:szCs w:val="24"/>
                <w14:textFill>
                  <w14:solidFill>
                    <w14:schemeClr w14:val="tx1"/>
                  </w14:solidFill>
                </w14:textFill>
              </w:rPr>
              <w:t>2</w:t>
            </w:r>
          </w:p>
        </w:tc>
        <w:tc>
          <w:tcPr>
            <w:tcW w:w="423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网络安全事件响应、数字取证调查、</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应用程序安全</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夺旗挑战</w:t>
            </w:r>
            <w:r>
              <w:rPr>
                <w:color w:val="000000" w:themeColor="text1"/>
                <w:sz w:val="24"/>
                <w:szCs w:val="24"/>
                <w14:textFill>
                  <w14:solidFill>
                    <w14:schemeClr w14:val="tx1"/>
                  </w14:solidFill>
                </w14:textFill>
              </w:rPr>
              <w:t xml:space="preserve"> CTF（网络安全渗透）</w:t>
            </w:r>
          </w:p>
        </w:tc>
        <w:tc>
          <w:tcPr>
            <w:tcW w:w="2289"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w:t>
            </w:r>
          </w:p>
        </w:tc>
      </w:tr>
    </w:tbl>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（二）</w:t>
      </w:r>
      <w:r>
        <w:rPr>
          <w:rFonts w:hint="eastAsia"/>
          <w:color w:val="000000" w:themeColor="text1"/>
          <w14:textFill>
            <w14:solidFill>
              <w14:schemeClr w14:val="tx1"/>
            </w14:solidFill>
          </w14:textFill>
        </w:rPr>
        <w:t>裁判工作原则</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按照职业院校技能大赛专家和裁判工作管理办法相关制度建立浙江省职业院校技能大赛赛项裁判库，裁判长由赛项执委会向大赛执委会推荐，由大赛执委会聘任。赛前建立健全裁判组。裁判组为裁判长负责制，划分裁判小组，并设有专职督导人员 1-2 名，负责比赛过程全程监督，防止营私舞弊。本赛项计划需要裁判 9 名，裁判长 1 名，现场裁判 2 名，打分裁判 3 名，加密裁判 3 名。</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赛项需进行三次加密，加密后参赛选手中途不得擅自离开赛场。分别由 3 组加密裁判组织实施加密工作，管理加密结果。监督员全程监督加密过程。</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第一组加密裁判，组织参赛选手进行第一次抽签，产生参赛编号，替换选手参赛证等个人身份信息，填写一次加密记录表，装入一次加密结果密封袋中单独保管。</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第二组加密裁判，组织参赛选手进行第二次抽签，确定工位号，替换选手参赛编号，填写二次加密记录表连同选手参赛编号，装入二次加密结果密封袋中单独保管。</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第三组加密裁判对提交的竞赛文档进行加密。确定竞赛文档号，替换赛位号，填写三次加密记录表，装入三次加密结果密封袋中单独保管。</w:t>
      </w:r>
    </w:p>
    <w:p>
      <w:pPr>
        <w:spacing w:line="360" w:lineRule="auto"/>
        <w:ind w:firstLine="720"/>
        <w:rPr>
          <w:color w:val="000000" w:themeColor="text1"/>
          <w14:textFill>
            <w14:solidFill>
              <w14:schemeClr w14:val="tx1"/>
            </w14:solidFill>
          </w14:textFill>
        </w:rPr>
      </w:pPr>
      <w:r>
        <w:rPr>
          <w:rFonts w:hint="eastAsia"/>
          <w:color w:val="000000" w:themeColor="text1"/>
          <w14:textFill>
            <w14:solidFill>
              <w14:schemeClr w14:val="tx1"/>
            </w14:solidFill>
          </w14:textFill>
        </w:rPr>
        <w:t>所有加密结果密封袋的封条均需相应加密裁判和监督人员签字。密封袋在监督人员监督下由加密裁判放置于保密室的保险柜中保存。</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）评分方法</w:t>
      </w:r>
    </w:p>
    <w:p>
      <w:pPr>
        <w:pStyle w:val="16"/>
        <w:numPr>
          <w:ilvl w:val="0"/>
          <w:numId w:val="2"/>
        </w:numPr>
        <w:tabs>
          <w:tab w:val="left" w:pos="1046"/>
        </w:tabs>
        <w:spacing w:before="170"/>
        <w:ind w:right="0"/>
        <w:rPr>
          <w:rFonts w:ascii="华文中宋" w:eastAsia="华文中宋"/>
          <w:color w:val="000000" w:themeColor="text1"/>
          <w:sz w:val="26"/>
          <w14:textFill>
            <w14:solidFill>
              <w14:schemeClr w14:val="tx1"/>
            </w14:solidFill>
          </w14:textFill>
        </w:rPr>
      </w:pPr>
      <w:r>
        <w:rPr>
          <w:color w:val="000000" w:themeColor="text1"/>
          <w:spacing w:val="-3"/>
          <w14:textFill>
            <w14:solidFill>
              <w14:schemeClr w14:val="tx1"/>
            </w14:solidFill>
          </w14:textFill>
        </w:rPr>
        <w:t>参赛队成绩由裁判委员会统一评定；</w:t>
      </w:r>
    </w:p>
    <w:p>
      <w:pPr>
        <w:pStyle w:val="16"/>
        <w:numPr>
          <w:ilvl w:val="0"/>
          <w:numId w:val="2"/>
        </w:numPr>
        <w:tabs>
          <w:tab w:val="left" w:pos="1063"/>
        </w:tabs>
        <w:spacing w:before="194" w:line="364" w:lineRule="auto"/>
        <w:ind w:left="220" w:right="375" w:firstLine="559"/>
        <w:rPr>
          <w:color w:val="000000" w:themeColor="text1"/>
          <w:sz w:val="26"/>
          <w14:textFill>
            <w14:solidFill>
              <w14:schemeClr w14:val="tx1"/>
            </w14:solidFill>
          </w14:textFill>
        </w:rPr>
      </w:pPr>
      <w:r>
        <w:rPr>
          <w:color w:val="000000" w:themeColor="text1"/>
          <w:spacing w:val="-10"/>
          <w14:textFill>
            <w14:solidFill>
              <w14:schemeClr w14:val="tx1"/>
            </w14:solidFill>
          </w14:textFill>
        </w:rPr>
        <w:t>采取分步得分、错误不传递、累计总分的积分方式，分别计算</w:t>
      </w:r>
      <w:r>
        <w:rPr>
          <w:color w:val="000000" w:themeColor="text1"/>
          <w:spacing w:val="-4"/>
          <w14:textFill>
            <w14:solidFill>
              <w14:schemeClr w14:val="tx1"/>
            </w14:solidFill>
          </w14:textFill>
        </w:rPr>
        <w:t>环节得分，不计参赛选手个人得分；</w:t>
      </w:r>
    </w:p>
    <w:p>
      <w:pPr>
        <w:pStyle w:val="16"/>
        <w:numPr>
          <w:ilvl w:val="0"/>
          <w:numId w:val="2"/>
        </w:numPr>
        <w:tabs>
          <w:tab w:val="left" w:pos="1063"/>
        </w:tabs>
        <w:spacing w:line="364" w:lineRule="auto"/>
        <w:ind w:left="220" w:firstLine="559"/>
        <w:rPr>
          <w:color w:val="000000" w:themeColor="text1"/>
          <w:sz w:val="26"/>
          <w14:textFill>
            <w14:solidFill>
              <w14:schemeClr w14:val="tx1"/>
            </w14:solidFill>
          </w14:textFill>
        </w:rPr>
      </w:pPr>
      <w:r>
        <w:rPr>
          <w:color w:val="000000" w:themeColor="text1"/>
          <w:spacing w:val="-10"/>
          <w14:textFill>
            <w14:solidFill>
              <w14:schemeClr w14:val="tx1"/>
            </w14:solidFill>
          </w14:textFill>
        </w:rPr>
        <w:t>参赛选手应体现团队风貌、团队协作与沟通、组织与管理能力</w:t>
      </w:r>
      <w:r>
        <w:rPr>
          <w:color w:val="000000" w:themeColor="text1"/>
          <w:spacing w:val="-4"/>
          <w14:textFill>
            <w14:solidFill>
              <w14:schemeClr w14:val="tx1"/>
            </w14:solidFill>
          </w14:textFill>
        </w:rPr>
        <w:t>和工作计划能力等，并注意相关文档的准确性与规范性。</w:t>
      </w:r>
    </w:p>
    <w:p>
      <w:pPr>
        <w:pStyle w:val="6"/>
        <w:spacing w:line="364" w:lineRule="auto"/>
        <w:ind w:right="376"/>
        <w:jc w:val="both"/>
        <w:rPr>
          <w:color w:val="000000" w:themeColor="text1"/>
          <w14:textFill>
            <w14:solidFill>
              <w14:schemeClr w14:val="tx1"/>
            </w14:solidFill>
          </w14:textFill>
        </w:rPr>
      </w:pPr>
      <w:r>
        <w:rPr>
          <w:color w:val="000000" w:themeColor="text1"/>
          <w:spacing w:val="-10"/>
          <w14:textFill>
            <w14:solidFill>
              <w14:schemeClr w14:val="tx1"/>
            </w14:solidFill>
          </w14:textFill>
        </w:rPr>
        <w:t>竞赛过程中，参赛选手如有不服从裁判判决、扰乱赛场秩序、舞</w:t>
      </w:r>
      <w:r>
        <w:rPr>
          <w:color w:val="000000" w:themeColor="text1"/>
          <w:spacing w:val="-11"/>
          <w14:textFill>
            <w14:solidFill>
              <w14:schemeClr w14:val="tx1"/>
            </w14:solidFill>
          </w14:textFill>
        </w:rPr>
        <w:t>弊等不文明行为，由裁判组按照规定扣减相应分数，情节严重的取消</w:t>
      </w:r>
      <w:r>
        <w:rPr>
          <w:color w:val="000000" w:themeColor="text1"/>
          <w:spacing w:val="-5"/>
          <w14:textFill>
            <w14:solidFill>
              <w14:schemeClr w14:val="tx1"/>
            </w14:solidFill>
          </w14:textFill>
        </w:rPr>
        <w:t>竞赛资格。选手有下列情形，需从比赛成绩中扣分：</w:t>
      </w:r>
    </w:p>
    <w:p>
      <w:pPr>
        <w:pStyle w:val="16"/>
        <w:numPr>
          <w:ilvl w:val="0"/>
          <w:numId w:val="3"/>
        </w:numPr>
        <w:tabs>
          <w:tab w:val="left" w:pos="1482"/>
        </w:tabs>
        <w:spacing w:line="362" w:lineRule="auto"/>
        <w:ind w:right="238" w:firstLine="559"/>
        <w:jc w:val="both"/>
        <w:rPr>
          <w:color w:val="000000" w:themeColor="text1"/>
          <w14:textFill>
            <w14:solidFill>
              <w14:schemeClr w14:val="tx1"/>
            </w14:solidFill>
          </w14:textFill>
        </w:rPr>
      </w:pPr>
      <w:r>
        <w:rPr>
          <w:color w:val="000000" w:themeColor="text1"/>
          <w:spacing w:val="-9"/>
          <w14:textFill>
            <w14:solidFill>
              <w14:schemeClr w14:val="tx1"/>
            </w14:solidFill>
          </w14:textFill>
        </w:rPr>
        <w:t>违反比赛规定，提前进行操作或比赛终止后仍继续操作的</w:t>
      </w:r>
      <w:r>
        <w:rPr>
          <w:color w:val="000000" w:themeColor="text1"/>
          <w:spacing w:val="-10"/>
          <w14:textFill>
            <w14:solidFill>
              <w14:schemeClr w14:val="tx1"/>
            </w14:solidFill>
          </w14:textFill>
        </w:rPr>
        <w:t xml:space="preserve">，由现场裁判负责记录并酌情扣 </w:t>
      </w:r>
      <w:r>
        <w:rPr>
          <w:color w:val="000000" w:themeColor="text1"/>
          <w14:textFill>
            <w14:solidFill>
              <w14:schemeClr w14:val="tx1"/>
            </w14:solidFill>
          </w14:textFill>
        </w:rPr>
        <w:t>1-5</w:t>
      </w:r>
      <w:r>
        <w:rPr>
          <w:color w:val="000000" w:themeColor="text1"/>
          <w:spacing w:val="-24"/>
          <w14:textFill>
            <w14:solidFill>
              <w14:schemeClr w14:val="tx1"/>
            </w14:solidFill>
          </w14:textFill>
        </w:rPr>
        <w:t xml:space="preserve"> 分。</w:t>
      </w:r>
    </w:p>
    <w:p>
      <w:pPr>
        <w:pStyle w:val="16"/>
        <w:numPr>
          <w:ilvl w:val="0"/>
          <w:numId w:val="3"/>
        </w:numPr>
        <w:tabs>
          <w:tab w:val="left" w:pos="1486"/>
        </w:tabs>
        <w:spacing w:before="2" w:line="364" w:lineRule="auto"/>
        <w:ind w:firstLine="559"/>
        <w:jc w:val="both"/>
        <w:rPr>
          <w:color w:val="000000" w:themeColor="text1"/>
          <w14:textFill>
            <w14:solidFill>
              <w14:schemeClr w14:val="tx1"/>
            </w14:solidFill>
          </w14:textFill>
        </w:rPr>
      </w:pPr>
      <w:r>
        <w:rPr>
          <w:color w:val="000000" w:themeColor="text1"/>
          <w14:textFill>
            <w14:solidFill>
              <w14:schemeClr w14:val="tx1"/>
            </w14:solidFill>
          </w14:textFill>
        </w:rPr>
        <w:t>在竞赛过程中，违反操作规程，影响其他选手比赛的，未</w:t>
      </w:r>
      <w:r>
        <w:rPr>
          <w:color w:val="000000" w:themeColor="text1"/>
          <w:spacing w:val="-9"/>
          <w14:textFill>
            <w14:solidFill>
              <w14:schemeClr w14:val="tx1"/>
            </w14:solidFill>
          </w14:textFill>
        </w:rPr>
        <w:t xml:space="preserve">造成设备损坏的参赛队，扣 </w:t>
      </w:r>
      <w:r>
        <w:rPr>
          <w:color w:val="000000" w:themeColor="text1"/>
          <w14:textFill>
            <w14:solidFill>
              <w14:schemeClr w14:val="tx1"/>
            </w14:solidFill>
          </w14:textFill>
        </w:rPr>
        <w:t>5-10</w:t>
      </w:r>
      <w:r>
        <w:rPr>
          <w:color w:val="000000" w:themeColor="text1"/>
          <w:spacing w:val="-24"/>
          <w14:textFill>
            <w14:solidFill>
              <w14:schemeClr w14:val="tx1"/>
            </w14:solidFill>
          </w14:textFill>
        </w:rPr>
        <w:t xml:space="preserve"> 分。</w:t>
      </w:r>
    </w:p>
    <w:p>
      <w:pPr>
        <w:pStyle w:val="16"/>
        <w:numPr>
          <w:ilvl w:val="0"/>
          <w:numId w:val="3"/>
        </w:numPr>
        <w:tabs>
          <w:tab w:val="left" w:pos="1486"/>
        </w:tabs>
        <w:spacing w:line="364" w:lineRule="auto"/>
        <w:ind w:right="283" w:firstLine="559"/>
        <w:jc w:val="both"/>
        <w:rPr>
          <w:color w:val="000000" w:themeColor="text1"/>
          <w14:textFill>
            <w14:solidFill>
              <w14:schemeClr w14:val="tx1"/>
            </w14:solidFill>
          </w14:textFill>
        </w:rPr>
      </w:pPr>
      <w:r>
        <w:rPr>
          <w:color w:val="000000" w:themeColor="text1"/>
          <w14:textFill>
            <w14:solidFill>
              <w14:schemeClr w14:val="tx1"/>
            </w14:solidFill>
          </w14:textFill>
        </w:rPr>
        <w:t>在竞赛过程中，造成设备损坏或影响他人比赛、情节严重</w:t>
      </w:r>
      <w:r>
        <w:rPr>
          <w:color w:val="000000" w:themeColor="text1"/>
          <w:spacing w:val="-6"/>
          <w14:textFill>
            <w14:solidFill>
              <w14:schemeClr w14:val="tx1"/>
            </w14:solidFill>
          </w14:textFill>
        </w:rPr>
        <w:t xml:space="preserve">的报竞赛执委会批准，终止该参赛队的比赛，竞赛成绩以 </w:t>
      </w:r>
      <w:r>
        <w:rPr>
          <w:color w:val="000000" w:themeColor="text1"/>
          <w14:textFill>
            <w14:solidFill>
              <w14:schemeClr w14:val="tx1"/>
            </w14:solidFill>
          </w14:textFill>
        </w:rPr>
        <w:t>0</w:t>
      </w:r>
      <w:r>
        <w:rPr>
          <w:color w:val="000000" w:themeColor="text1"/>
          <w:spacing w:val="-15"/>
          <w14:textFill>
            <w14:solidFill>
              <w14:schemeClr w14:val="tx1"/>
            </w14:solidFill>
          </w14:textFill>
        </w:rPr>
        <w:t xml:space="preserve"> 分计算。</w:t>
      </w:r>
    </w:p>
    <w:p>
      <w:pPr>
        <w:pStyle w:val="16"/>
        <w:numPr>
          <w:ilvl w:val="0"/>
          <w:numId w:val="2"/>
        </w:numPr>
        <w:tabs>
          <w:tab w:val="left" w:pos="1063"/>
        </w:tabs>
        <w:spacing w:line="364" w:lineRule="auto"/>
        <w:ind w:left="220" w:firstLine="559"/>
        <w:jc w:val="both"/>
        <w:rPr>
          <w:bCs/>
          <w:color w:val="000000" w:themeColor="text1"/>
          <w:sz w:val="26"/>
          <w14:textFill>
            <w14:solidFill>
              <w14:schemeClr w14:val="tx1"/>
            </w14:solidFill>
          </w14:textFill>
        </w:rPr>
      </w:pPr>
      <w:r>
        <w:rPr>
          <w:bCs/>
          <w:color w:val="000000" w:themeColor="text1"/>
          <w:spacing w:val="-4"/>
          <w14:textFill>
            <w14:solidFill>
              <w14:schemeClr w14:val="tx1"/>
            </w14:solidFill>
          </w14:textFill>
        </w:rPr>
        <w:t xml:space="preserve">赛项设参赛选手团体奖，一等奖占比 </w:t>
      </w:r>
      <w:r>
        <w:rPr>
          <w:bCs/>
          <w:color w:val="000000" w:themeColor="text1"/>
          <w14:textFill>
            <w14:solidFill>
              <w14:schemeClr w14:val="tx1"/>
            </w14:solidFill>
          </w14:textFill>
        </w:rPr>
        <w:t>10</w:t>
      </w:r>
      <w:r>
        <w:rPr>
          <w:bCs/>
          <w:color w:val="000000" w:themeColor="text1"/>
          <w:spacing w:val="-8"/>
          <w14:textFill>
            <w14:solidFill>
              <w14:schemeClr w14:val="tx1"/>
            </w14:solidFill>
          </w14:textFill>
        </w:rPr>
        <w:t xml:space="preserve">%，二等奖占比 </w:t>
      </w:r>
      <w:r>
        <w:rPr>
          <w:bCs/>
          <w:color w:val="000000" w:themeColor="text1"/>
          <w14:textFill>
            <w14:solidFill>
              <w14:schemeClr w14:val="tx1"/>
            </w14:solidFill>
          </w14:textFill>
        </w:rPr>
        <w:t xml:space="preserve">20%， </w:t>
      </w:r>
      <w:r>
        <w:rPr>
          <w:bCs/>
          <w:color w:val="000000" w:themeColor="text1"/>
          <w:spacing w:val="-14"/>
          <w14:textFill>
            <w14:solidFill>
              <w14:schemeClr w14:val="tx1"/>
            </w14:solidFill>
          </w14:textFill>
        </w:rPr>
        <w:t xml:space="preserve">三等奖占比 </w:t>
      </w:r>
      <w:r>
        <w:rPr>
          <w:bCs/>
          <w:color w:val="000000" w:themeColor="text1"/>
          <w14:textFill>
            <w14:solidFill>
              <w14:schemeClr w14:val="tx1"/>
            </w14:solidFill>
          </w14:textFill>
        </w:rPr>
        <w:t>30%</w:t>
      </w:r>
      <w:r>
        <w:rPr>
          <w:bCs/>
          <w:color w:val="000000" w:themeColor="text1"/>
          <w:spacing w:val="-4"/>
          <w14:textFill>
            <w14:solidFill>
              <w14:schemeClr w14:val="tx1"/>
            </w14:solidFill>
          </w14:textFill>
        </w:rPr>
        <w:t>。（小数点后四舍五入）</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color w:val="000000" w:themeColor="text1"/>
          <w14:textFill>
            <w14:solidFill>
              <w14:schemeClr w14:val="tx1"/>
            </w14:solidFill>
          </w14:textFill>
        </w:rPr>
        <w:t>、申诉与仲裁</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（一）申诉</w:t>
      </w:r>
    </w:p>
    <w:p>
      <w:pPr>
        <w:pStyle w:val="16"/>
        <w:numPr>
          <w:ilvl w:val="0"/>
          <w:numId w:val="4"/>
        </w:numPr>
        <w:tabs>
          <w:tab w:val="left" w:pos="1063"/>
        </w:tabs>
        <w:spacing w:before="186" w:line="364" w:lineRule="auto"/>
        <w:ind w:firstLine="559"/>
        <w:rPr>
          <w:color w:val="000000" w:themeColor="text1"/>
          <w14:textFill>
            <w14:solidFill>
              <w14:schemeClr w14:val="tx1"/>
            </w14:solidFill>
          </w14:textFill>
        </w:rPr>
      </w:pPr>
      <w:r>
        <w:rPr>
          <w:color w:val="000000" w:themeColor="text1"/>
          <w:spacing w:val="-10"/>
          <w14:textFill>
            <w14:solidFill>
              <w14:schemeClr w14:val="tx1"/>
            </w14:solidFill>
          </w14:textFill>
        </w:rPr>
        <w:t>参赛队对不符合竞赛规定的设备、工具、软件，有失公正的评</w:t>
      </w:r>
      <w:r>
        <w:rPr>
          <w:color w:val="000000" w:themeColor="text1"/>
          <w:spacing w:val="-4"/>
          <w14:textFill>
            <w14:solidFill>
              <w14:schemeClr w14:val="tx1"/>
            </w14:solidFill>
          </w14:textFill>
        </w:rPr>
        <w:t>判、奖励，以及对工作人员的违规行为等，均可提出申诉。</w:t>
      </w:r>
    </w:p>
    <w:p>
      <w:pPr>
        <w:pStyle w:val="16"/>
        <w:numPr>
          <w:ilvl w:val="0"/>
          <w:numId w:val="4"/>
        </w:numPr>
        <w:tabs>
          <w:tab w:val="left" w:pos="1063"/>
        </w:tabs>
        <w:spacing w:line="364" w:lineRule="auto"/>
        <w:ind w:right="238" w:firstLine="559"/>
        <w:rPr>
          <w:color w:val="000000" w:themeColor="text1"/>
          <w14:textFill>
            <w14:solidFill>
              <w14:schemeClr w14:val="tx1"/>
            </w14:solidFill>
          </w14:textFill>
        </w:rPr>
      </w:pPr>
      <w:r>
        <w:rPr>
          <w:bCs/>
          <w:color w:val="000000" w:themeColor="text1"/>
          <w:spacing w:val="-10"/>
          <w14:textFill>
            <w14:solidFill>
              <w14:schemeClr w14:val="tx1"/>
            </w14:solidFill>
          </w14:textFill>
        </w:rPr>
        <w:t xml:space="preserve">申诉应在竞赛结束后 </w:t>
      </w:r>
      <w:r>
        <w:rPr>
          <w:bCs/>
          <w:color w:val="000000" w:themeColor="text1"/>
          <w14:textFill>
            <w14:solidFill>
              <w14:schemeClr w14:val="tx1"/>
            </w14:solidFill>
          </w14:textFill>
        </w:rPr>
        <w:t>1</w:t>
      </w:r>
      <w:r>
        <w:rPr>
          <w:bCs/>
          <w:color w:val="000000" w:themeColor="text1"/>
          <w:spacing w:val="-10"/>
          <w14:textFill>
            <w14:solidFill>
              <w14:schemeClr w14:val="tx1"/>
            </w14:solidFill>
          </w14:textFill>
        </w:rPr>
        <w:t xml:space="preserve"> 小时内提出，超时不予受理</w:t>
      </w:r>
      <w:r>
        <w:rPr>
          <w:color w:val="000000" w:themeColor="text1"/>
          <w:spacing w:val="-10"/>
          <w14:textFill>
            <w14:solidFill>
              <w14:schemeClr w14:val="tx1"/>
            </w14:solidFill>
          </w14:textFill>
        </w:rPr>
        <w:t xml:space="preserve">。申诉时， </w:t>
      </w:r>
      <w:r>
        <w:rPr>
          <w:color w:val="000000" w:themeColor="text1"/>
          <w:spacing w:val="3"/>
          <w14:textFill>
            <w14:solidFill>
              <w14:schemeClr w14:val="tx1"/>
            </w14:solidFill>
          </w14:textFill>
        </w:rPr>
        <w:t>应按照规定的程序由参赛队领队向相应赛项仲裁工作组递交书面申</w:t>
      </w:r>
      <w:r>
        <w:rPr>
          <w:color w:val="000000" w:themeColor="text1"/>
          <w:spacing w:val="-10"/>
          <w14:textFill>
            <w14:solidFill>
              <w14:schemeClr w14:val="tx1"/>
            </w14:solidFill>
          </w14:textFill>
        </w:rPr>
        <w:t>诉报告。报告应对申诉事件的现象、发生的时间、涉及到的人员、申诉依据与理由等进行充分、实事求是的叙述。事实依据不充分、仅凭</w:t>
      </w:r>
      <w:r>
        <w:rPr>
          <w:color w:val="000000" w:themeColor="text1"/>
          <w:spacing w:val="-17"/>
          <w14:textFill>
            <w14:solidFill>
              <w14:schemeClr w14:val="tx1"/>
            </w14:solidFill>
          </w14:textFill>
        </w:rPr>
        <w:t>主观臆断的申诉不予受理。申诉报告须有申诉的参赛选手、领队签名。</w:t>
      </w:r>
    </w:p>
    <w:p>
      <w:pPr>
        <w:pStyle w:val="16"/>
        <w:numPr>
          <w:ilvl w:val="0"/>
          <w:numId w:val="4"/>
        </w:numPr>
        <w:tabs>
          <w:tab w:val="left" w:pos="1063"/>
        </w:tabs>
        <w:spacing w:line="356" w:lineRule="exact"/>
        <w:ind w:left="1062" w:right="0"/>
        <w:rPr>
          <w:color w:val="000000" w:themeColor="text1"/>
          <w14:textFill>
            <w14:solidFill>
              <w14:schemeClr w14:val="tx1"/>
            </w14:solidFill>
          </w14:textFill>
        </w:rPr>
      </w:pPr>
      <w:r>
        <w:rPr>
          <w:color w:val="000000" w:themeColor="text1"/>
          <w:spacing w:val="-3"/>
          <w14:textFill>
            <w14:solidFill>
              <w14:schemeClr w14:val="tx1"/>
            </w14:solidFill>
          </w14:textFill>
        </w:rPr>
        <w:t>赛项仲裁工作组收到申诉报告后，应根据申诉事由进行审查，</w:t>
      </w:r>
    </w:p>
    <w:p>
      <w:pPr>
        <w:pStyle w:val="6"/>
        <w:spacing w:before="185" w:line="364" w:lineRule="auto"/>
        <w:ind w:firstLine="0"/>
        <w:rPr>
          <w:color w:val="000000" w:themeColor="text1"/>
          <w14:textFill>
            <w14:solidFill>
              <w14:schemeClr w14:val="tx1"/>
            </w14:solidFill>
          </w14:textFill>
        </w:rPr>
      </w:pPr>
      <w:r>
        <w:rPr>
          <w:color w:val="000000" w:themeColor="text1"/>
          <w14:textFill>
            <w14:solidFill>
              <w14:schemeClr w14:val="tx1"/>
            </w14:solidFill>
          </w14:textFill>
        </w:rPr>
        <w:t>6</w:t>
      </w:r>
      <w:r>
        <w:rPr>
          <w:color w:val="000000" w:themeColor="text1"/>
          <w:spacing w:val="-10"/>
          <w14:textFill>
            <w14:solidFill>
              <w14:schemeClr w14:val="tx1"/>
            </w14:solidFill>
          </w14:textFill>
        </w:rPr>
        <w:t xml:space="preserve"> 小时内书面通知申诉方，告知申诉处理结果。如受理申诉，要通知</w:t>
      </w:r>
      <w:r>
        <w:rPr>
          <w:color w:val="000000" w:themeColor="text1"/>
          <w:spacing w:val="-4"/>
          <w14:textFill>
            <w14:solidFill>
              <w14:schemeClr w14:val="tx1"/>
            </w14:solidFill>
          </w14:textFill>
        </w:rPr>
        <w:t>申诉方举办听证会的时间和地点；如不受理申诉，要说明理由。</w:t>
      </w:r>
    </w:p>
    <w:p>
      <w:pPr>
        <w:pStyle w:val="16"/>
        <w:numPr>
          <w:ilvl w:val="0"/>
          <w:numId w:val="4"/>
        </w:numPr>
        <w:tabs>
          <w:tab w:val="left" w:pos="1063"/>
        </w:tabs>
        <w:spacing w:line="364" w:lineRule="auto"/>
        <w:ind w:right="99" w:firstLine="559"/>
        <w:rPr>
          <w:color w:val="000000" w:themeColor="text1"/>
          <w14:textFill>
            <w14:solidFill>
              <w14:schemeClr w14:val="tx1"/>
            </w14:solidFill>
          </w14:textFill>
        </w:rPr>
      </w:pPr>
      <w:r>
        <w:rPr>
          <w:color w:val="000000" w:themeColor="text1"/>
          <w:spacing w:val="-9"/>
          <w14:textFill>
            <w14:solidFill>
              <w14:schemeClr w14:val="tx1"/>
            </w14:solidFill>
          </w14:textFill>
        </w:rPr>
        <w:t>申诉人不得无故拒不接受处理结果，不允许采取过激行为刁难、</w:t>
      </w:r>
      <w:r>
        <w:rPr>
          <w:color w:val="000000" w:themeColor="text1"/>
          <w:spacing w:val="-12"/>
          <w14:textFill>
            <w14:solidFill>
              <w14:schemeClr w14:val="tx1"/>
            </w14:solidFill>
          </w14:textFill>
        </w:rPr>
        <w:t xml:space="preserve">攻击工作人员，否则视为放弃申诉。申诉人不满意赛项仲裁工作组的 </w:t>
      </w:r>
      <w:r>
        <w:rPr>
          <w:color w:val="000000" w:themeColor="text1"/>
          <w:spacing w:val="-5"/>
          <w14:textFill>
            <w14:solidFill>
              <w14:schemeClr w14:val="tx1"/>
            </w14:solidFill>
          </w14:textFill>
        </w:rPr>
        <w:t>处理结果的，可向大赛赛区仲裁委员会提出复议申请。</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（二）仲裁</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赛项设仲裁工作组接受由代表队领队提出的对裁判结果等方面问题的申诉。赛项仲裁工作组在接到申诉后的 1 小时内组织复议，并及时反馈复议结果。仲裁工作组的仲裁结果为最终结果。</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十一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竞赛须知</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参赛队须知</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参赛队名称：统一使用规定的学校代表队名称，不接受跨地区、跨校组队报名。</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2.参赛选手在报名获得确认后，原则上不再更换，如在备赛过程中， 选手因故不能参赛，所在学校需出具书面说明并按相关参赛选手资格补充人员并接受审核；竞赛开始后，参赛队不得更换参赛选手，允许队员缺席比赛。不允许更换指导教师，允许指导教师缺席。</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3.在赛事期间，领队及参赛队其他成员不得私自接触裁判，凡发现有弄虚作假者，取消其参赛资格，成绩无效。</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4.对于有碍比赛公正和比赛正常进行的参赛队，视其情节轻重，按照有关规定给予警告、取消比赛成绩、通报批评等处理。</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指导教师须知</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严格遵守赛场的规章制度，服从裁判，文明竞赛。</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竞赛过程中，</w:t>
      </w:r>
      <w:r>
        <w:rPr>
          <w:rFonts w:hint="eastAsia"/>
          <w:color w:val="000000" w:themeColor="text1"/>
          <w14:textFill>
            <w14:solidFill>
              <w14:schemeClr w14:val="tx1"/>
            </w14:solidFill>
          </w14:textFill>
        </w:rPr>
        <w:t>不允许随意进出比赛现场，如有特殊情况，必须进入赛场的，需事先向赛项执委会提出申请，经执委会同意后，方可进入。</w:t>
      </w:r>
    </w:p>
    <w:p>
      <w:pPr>
        <w:spacing w:line="360" w:lineRule="auto"/>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指导教师进入现场后，不得动手操作任何与竞赛有关的工具和设备；禁止指导教师书写、传递、夹带纸片等任何资料；不得串岗， 仅限于在赛场规定的范围内活动。如有违反此项规定的，该参赛队将被取消竞赛成绩。</w:t>
      </w:r>
    </w:p>
    <w:p>
      <w:pPr>
        <w:spacing w:line="360" w:lineRule="auto"/>
        <w:ind w:firstLine="720"/>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参赛选手须知</w:t>
      </w:r>
    </w:p>
    <w:p>
      <w:pPr>
        <w:pStyle w:val="16"/>
        <w:numPr>
          <w:ilvl w:val="0"/>
          <w:numId w:val="5"/>
        </w:numPr>
        <w:tabs>
          <w:tab w:val="left" w:pos="1063"/>
        </w:tabs>
        <w:spacing w:before="175" w:line="364" w:lineRule="auto"/>
        <w:ind w:right="238" w:firstLine="559"/>
        <w:rPr>
          <w:color w:val="000000" w:themeColor="text1"/>
          <w14:textFill>
            <w14:solidFill>
              <w14:schemeClr w14:val="tx1"/>
            </w14:solidFill>
          </w14:textFill>
        </w:rPr>
      </w:pPr>
      <w:r>
        <w:rPr>
          <w:color w:val="000000" w:themeColor="text1"/>
          <w:spacing w:val="-18"/>
          <w14:textFill>
            <w14:solidFill>
              <w14:schemeClr w14:val="tx1"/>
            </w14:solidFill>
          </w14:textFill>
        </w:rPr>
        <w:t xml:space="preserve">参赛选手严格遵守赛场规章、操作规程，保证人身及设备安全， </w:t>
      </w:r>
      <w:r>
        <w:rPr>
          <w:color w:val="000000" w:themeColor="text1"/>
          <w:spacing w:val="-5"/>
          <w14:textFill>
            <w14:solidFill>
              <w14:schemeClr w14:val="tx1"/>
            </w14:solidFill>
          </w14:textFill>
        </w:rPr>
        <w:t>接受裁判员的监督和警示，文明竞赛。</w:t>
      </w:r>
    </w:p>
    <w:p>
      <w:pPr>
        <w:pStyle w:val="16"/>
        <w:numPr>
          <w:ilvl w:val="0"/>
          <w:numId w:val="5"/>
        </w:numPr>
        <w:tabs>
          <w:tab w:val="left" w:pos="1063"/>
        </w:tabs>
        <w:spacing w:before="44" w:line="364" w:lineRule="auto"/>
        <w:ind w:firstLine="559"/>
        <w:rPr>
          <w:color w:val="000000" w:themeColor="text1"/>
          <w14:textFill>
            <w14:solidFill>
              <w14:schemeClr w14:val="tx1"/>
            </w14:solidFill>
          </w14:textFill>
        </w:rPr>
      </w:pPr>
      <w:r>
        <w:rPr>
          <w:color w:val="000000" w:themeColor="text1"/>
          <w:spacing w:val="-12"/>
          <w14:textFill>
            <w14:solidFill>
              <w14:schemeClr w14:val="tx1"/>
            </w14:solidFill>
          </w14:textFill>
        </w:rPr>
        <w:t>选手凭证进入赛场，在赛场内操作期间应当始终佩带参赛凭证</w:t>
      </w:r>
      <w:r>
        <w:rPr>
          <w:color w:val="000000" w:themeColor="text1"/>
          <w:spacing w:val="-4"/>
          <w14:textFill>
            <w14:solidFill>
              <w14:schemeClr w14:val="tx1"/>
            </w14:solidFill>
          </w14:textFill>
        </w:rPr>
        <w:t>以备检查。</w:t>
      </w:r>
    </w:p>
    <w:p>
      <w:pPr>
        <w:pStyle w:val="16"/>
        <w:numPr>
          <w:ilvl w:val="0"/>
          <w:numId w:val="5"/>
        </w:numPr>
        <w:tabs>
          <w:tab w:val="left" w:pos="1063"/>
        </w:tabs>
        <w:spacing w:line="364" w:lineRule="auto"/>
        <w:ind w:firstLine="559"/>
        <w:jc w:val="both"/>
        <w:rPr>
          <w:color w:val="000000" w:themeColor="text1"/>
          <w14:textFill>
            <w14:solidFill>
              <w14:schemeClr w14:val="tx1"/>
            </w14:solidFill>
          </w14:textFill>
        </w:rPr>
      </w:pPr>
      <w:r>
        <w:rPr>
          <w:color w:val="000000" w:themeColor="text1"/>
          <w:spacing w:val="-11"/>
          <w14:textFill>
            <w14:solidFill>
              <w14:schemeClr w14:val="tx1"/>
            </w14:solidFill>
          </w14:textFill>
        </w:rPr>
        <w:t>参赛选手进入赛场，不允许携带任何书籍和其他纸质资料</w:t>
      </w:r>
      <w:r>
        <w:rPr>
          <w:color w:val="000000" w:themeColor="text1"/>
          <w14:textFill>
            <w14:solidFill>
              <w14:schemeClr w14:val="tx1"/>
            </w14:solidFill>
          </w14:textFill>
        </w:rPr>
        <w:t>（相</w:t>
      </w:r>
      <w:r>
        <w:rPr>
          <w:color w:val="000000" w:themeColor="text1"/>
          <w:spacing w:val="-1"/>
          <w14:textFill>
            <w14:solidFill>
              <w14:schemeClr w14:val="tx1"/>
            </w14:solidFill>
          </w14:textFill>
        </w:rPr>
        <w:t>关技术资料的电子文档由组委会提供</w:t>
      </w:r>
      <w:r>
        <w:rPr>
          <w:color w:val="000000" w:themeColor="text1"/>
          <w:spacing w:val="-140"/>
          <w14:textFill>
            <w14:solidFill>
              <w14:schemeClr w14:val="tx1"/>
            </w14:solidFill>
          </w14:textFill>
        </w:rPr>
        <w:t>）</w:t>
      </w:r>
      <w:r>
        <w:rPr>
          <w:color w:val="000000" w:themeColor="text1"/>
          <w:spacing w:val="-1"/>
          <w14:textFill>
            <w14:solidFill>
              <w14:schemeClr w14:val="tx1"/>
            </w14:solidFill>
          </w14:textFill>
        </w:rPr>
        <w:t>，不允许携带通讯工具和存储</w:t>
      </w:r>
      <w:r>
        <w:rPr>
          <w:color w:val="000000" w:themeColor="text1"/>
          <w:spacing w:val="-2"/>
          <w14:textFill>
            <w14:solidFill>
              <w14:schemeClr w14:val="tx1"/>
            </w14:solidFill>
          </w14:textFill>
        </w:rPr>
        <w:t>设备。</w:t>
      </w:r>
    </w:p>
    <w:p>
      <w:pPr>
        <w:pStyle w:val="16"/>
        <w:numPr>
          <w:ilvl w:val="0"/>
          <w:numId w:val="5"/>
        </w:numPr>
        <w:tabs>
          <w:tab w:val="left" w:pos="1068"/>
        </w:tabs>
        <w:spacing w:line="364" w:lineRule="auto"/>
        <w:ind w:right="238" w:firstLine="559"/>
        <w:rPr>
          <w:color w:val="000000" w:themeColor="text1"/>
          <w14:textFill>
            <w14:solidFill>
              <w14:schemeClr w14:val="tx1"/>
            </w14:solidFill>
          </w14:textFill>
        </w:rPr>
      </w:pPr>
      <w:r>
        <w:rPr>
          <w:color w:val="000000" w:themeColor="text1"/>
          <w:spacing w:val="3"/>
          <w14:textFill>
            <w14:solidFill>
              <w14:schemeClr w14:val="tx1"/>
            </w14:solidFill>
          </w14:textFill>
        </w:rPr>
        <w:t>各参赛队应在竞赛开始前一天规定的时间段进入赛场熟悉环</w:t>
      </w:r>
      <w:r>
        <w:rPr>
          <w:color w:val="000000" w:themeColor="text1"/>
          <w:spacing w:val="-18"/>
          <w14:textFill>
            <w14:solidFill>
              <w14:schemeClr w14:val="tx1"/>
            </w14:solidFill>
          </w14:textFill>
        </w:rPr>
        <w:t xml:space="preserve">境，入场后，赛场工作人员与参赛选手共同确认操作条件及设备状况， </w:t>
      </w:r>
      <w:r>
        <w:rPr>
          <w:color w:val="000000" w:themeColor="text1"/>
          <w:spacing w:val="-5"/>
          <w14:textFill>
            <w14:solidFill>
              <w14:schemeClr w14:val="tx1"/>
            </w14:solidFill>
          </w14:textFill>
        </w:rPr>
        <w:t>设备、材料、工具清点后，由参赛队长签字认可。</w:t>
      </w:r>
    </w:p>
    <w:p>
      <w:pPr>
        <w:pStyle w:val="16"/>
        <w:numPr>
          <w:ilvl w:val="0"/>
          <w:numId w:val="5"/>
        </w:numPr>
        <w:tabs>
          <w:tab w:val="left" w:pos="1063"/>
        </w:tabs>
        <w:spacing w:line="364" w:lineRule="auto"/>
        <w:ind w:right="375" w:firstLine="559"/>
        <w:jc w:val="both"/>
        <w:rPr>
          <w:color w:val="000000" w:themeColor="text1"/>
          <w14:textFill>
            <w14:solidFill>
              <w14:schemeClr w14:val="tx1"/>
            </w14:solidFill>
          </w14:textFill>
        </w:rPr>
      </w:pPr>
      <w:r>
        <w:rPr>
          <w:color w:val="000000" w:themeColor="text1"/>
          <w:spacing w:val="-12"/>
          <w14:textFill>
            <w14:solidFill>
              <w14:schemeClr w14:val="tx1"/>
            </w14:solidFill>
          </w14:textFill>
        </w:rPr>
        <w:t>竞赛时，在收到开赛信号前不得启动操作，各参赛队自行决定</w:t>
      </w:r>
      <w:r>
        <w:rPr>
          <w:color w:val="000000" w:themeColor="text1"/>
          <w:spacing w:val="-10"/>
          <w14:textFill>
            <w14:solidFill>
              <w14:schemeClr w14:val="tx1"/>
            </w14:solidFill>
          </w14:textFill>
        </w:rPr>
        <w:t>分工、工作程序和时间安排，在指定工位上完成竞赛项目，严禁作弊</w:t>
      </w:r>
      <w:r>
        <w:rPr>
          <w:color w:val="000000" w:themeColor="text1"/>
          <w:spacing w:val="-5"/>
          <w14:textFill>
            <w14:solidFill>
              <w14:schemeClr w14:val="tx1"/>
            </w14:solidFill>
          </w14:textFill>
        </w:rPr>
        <w:t>行为。</w:t>
      </w:r>
    </w:p>
    <w:p>
      <w:pPr>
        <w:pStyle w:val="16"/>
        <w:numPr>
          <w:ilvl w:val="0"/>
          <w:numId w:val="5"/>
        </w:numPr>
        <w:tabs>
          <w:tab w:val="left" w:pos="1063"/>
        </w:tabs>
        <w:spacing w:line="364" w:lineRule="auto"/>
        <w:ind w:firstLine="559"/>
        <w:jc w:val="both"/>
        <w:rPr>
          <w:color w:val="000000" w:themeColor="text1"/>
          <w14:textFill>
            <w14:solidFill>
              <w14:schemeClr w14:val="tx1"/>
            </w14:solidFill>
          </w14:textFill>
        </w:rPr>
      </w:pPr>
      <w:r>
        <w:rPr>
          <w:color w:val="000000" w:themeColor="text1"/>
          <w:spacing w:val="-11"/>
          <w14:textFill>
            <w14:solidFill>
              <w14:schemeClr w14:val="tx1"/>
            </w14:solidFill>
          </w14:textFill>
        </w:rPr>
        <w:t>竞赛过程中，因严重操作失误或安全事故不能进行竞赛的</w:t>
      </w:r>
      <w:r>
        <w:rPr>
          <w:color w:val="000000" w:themeColor="text1"/>
          <w14:textFill>
            <w14:solidFill>
              <w14:schemeClr w14:val="tx1"/>
            </w14:solidFill>
          </w14:textFill>
        </w:rPr>
        <w:t>（例</w:t>
      </w:r>
      <w:r>
        <w:rPr>
          <w:color w:val="000000" w:themeColor="text1"/>
          <w:spacing w:val="-2"/>
          <w14:textFill>
            <w14:solidFill>
              <w14:schemeClr w14:val="tx1"/>
            </w14:solidFill>
          </w14:textFill>
        </w:rPr>
        <w:t>如操作中发生短路导致赛场断电的、造成设备不能正常工作的</w:t>
      </w:r>
      <w:r>
        <w:rPr>
          <w:color w:val="000000" w:themeColor="text1"/>
          <w:spacing w:val="-137"/>
          <w14:textFill>
            <w14:solidFill>
              <w14:schemeClr w14:val="tx1"/>
            </w14:solidFill>
          </w14:textFill>
        </w:rPr>
        <w:t>）</w:t>
      </w:r>
      <w:r>
        <w:rPr>
          <w:color w:val="000000" w:themeColor="text1"/>
          <w:spacing w:val="-1"/>
          <w14:textFill>
            <w14:solidFill>
              <w14:schemeClr w14:val="tx1"/>
            </w14:solidFill>
          </w14:textFill>
        </w:rPr>
        <w:t>，现</w:t>
      </w:r>
      <w:r>
        <w:rPr>
          <w:color w:val="000000" w:themeColor="text1"/>
          <w:spacing w:val="-3"/>
          <w14:textFill>
            <w14:solidFill>
              <w14:schemeClr w14:val="tx1"/>
            </w14:solidFill>
          </w14:textFill>
        </w:rPr>
        <w:t>场裁判员有权中止该队竞赛。</w:t>
      </w:r>
    </w:p>
    <w:p>
      <w:pPr>
        <w:pStyle w:val="16"/>
        <w:numPr>
          <w:ilvl w:val="0"/>
          <w:numId w:val="5"/>
        </w:numPr>
        <w:tabs>
          <w:tab w:val="left" w:pos="1063"/>
        </w:tabs>
        <w:spacing w:line="364" w:lineRule="auto"/>
        <w:ind w:right="238" w:firstLine="559"/>
        <w:rPr>
          <w:color w:val="000000" w:themeColor="text1"/>
          <w14:textFill>
            <w14:solidFill>
              <w14:schemeClr w14:val="tx1"/>
            </w14:solidFill>
          </w14:textFill>
        </w:rPr>
      </w:pPr>
      <w:r>
        <w:rPr>
          <w:color w:val="000000" w:themeColor="text1"/>
          <w:spacing w:val="-17"/>
          <w14:textFill>
            <w14:solidFill>
              <w14:schemeClr w14:val="tx1"/>
            </w14:solidFill>
          </w14:textFill>
        </w:rPr>
        <w:t>在竞赛期间，选手休息、饮食或如厕时间均计算在竞赛时间内。</w:t>
      </w:r>
      <w:r>
        <w:rPr>
          <w:color w:val="000000" w:themeColor="text1"/>
          <w:spacing w:val="-12"/>
          <w14:textFill>
            <w14:solidFill>
              <w14:schemeClr w14:val="tx1"/>
            </w14:solidFill>
          </w14:textFill>
        </w:rPr>
        <w:t>如厕需监考人员陪同，竞赛期间擅自离开操作工位的选手，将视为提</w:t>
      </w:r>
      <w:r>
        <w:rPr>
          <w:color w:val="000000" w:themeColor="text1"/>
          <w:spacing w:val="-5"/>
          <w14:textFill>
            <w14:solidFill>
              <w14:schemeClr w14:val="tx1"/>
            </w14:solidFill>
          </w14:textFill>
        </w:rPr>
        <w:t>前结束竞赛不得返回赛场。</w:t>
      </w:r>
    </w:p>
    <w:p>
      <w:pPr>
        <w:pStyle w:val="16"/>
        <w:numPr>
          <w:ilvl w:val="0"/>
          <w:numId w:val="6"/>
        </w:numPr>
        <w:tabs>
          <w:tab w:val="left" w:pos="1063"/>
        </w:tabs>
        <w:spacing w:line="364" w:lineRule="auto"/>
        <w:ind w:right="238" w:firstLine="559"/>
        <w:rPr>
          <w:color w:val="000000" w:themeColor="text1"/>
          <w14:textFill>
            <w14:solidFill>
              <w14:schemeClr w14:val="tx1"/>
            </w14:solidFill>
          </w14:textFill>
        </w:rPr>
      </w:pPr>
      <w:r>
        <w:rPr>
          <w:color w:val="000000" w:themeColor="text1"/>
          <w:spacing w:val="-10"/>
          <w14:textFill>
            <w14:solidFill>
              <w14:schemeClr w14:val="tx1"/>
            </w14:solidFill>
          </w14:textFill>
        </w:rPr>
        <w:t>为培养技能型人才的工作风格，在参赛期间，选手应当注意保</w:t>
      </w:r>
      <w:r>
        <w:rPr>
          <w:color w:val="000000" w:themeColor="text1"/>
          <w:spacing w:val="-6"/>
          <w14:textFill>
            <w14:solidFill>
              <w14:schemeClr w14:val="tx1"/>
            </w14:solidFill>
          </w14:textFill>
        </w:rPr>
        <w:t>持工作环境及设备摆放，符合企业生产“</w:t>
      </w:r>
      <w:r>
        <w:rPr>
          <w:color w:val="000000" w:themeColor="text1"/>
          <w:spacing w:val="1"/>
          <w14:textFill>
            <w14:solidFill>
              <w14:schemeClr w14:val="tx1"/>
            </w14:solidFill>
          </w14:textFill>
        </w:rPr>
        <w:t>5</w:t>
      </w:r>
      <w:r>
        <w:rPr>
          <w:color w:val="000000" w:themeColor="text1"/>
          <w:spacing w:val="-2"/>
          <w14:textFill>
            <w14:solidFill>
              <w14:schemeClr w14:val="tx1"/>
            </w14:solidFill>
          </w14:textFill>
        </w:rPr>
        <w:t>S</w:t>
      </w:r>
      <w:r>
        <w:rPr>
          <w:color w:val="000000" w:themeColor="text1"/>
          <w:spacing w:val="-159"/>
          <w14:textFill>
            <w14:solidFill>
              <w14:schemeClr w14:val="tx1"/>
            </w14:solidFill>
          </w14:textFill>
        </w:rPr>
        <w:t>”</w:t>
      </w:r>
      <w:r>
        <w:rPr>
          <w:color w:val="000000" w:themeColor="text1"/>
          <w:spacing w:val="-3"/>
          <w14:textFill>
            <w14:solidFill>
              <w14:schemeClr w14:val="tx1"/>
            </w14:solidFill>
          </w14:textFill>
        </w:rPr>
        <w:t>（</w:t>
      </w:r>
      <w:r>
        <w:rPr>
          <w:color w:val="000000" w:themeColor="text1"/>
          <w:spacing w:val="-8"/>
          <w14:textFill>
            <w14:solidFill>
              <w14:schemeClr w14:val="tx1"/>
            </w14:solidFill>
          </w14:textFill>
        </w:rPr>
        <w:t>即整理、整顿、清扫、</w:t>
      </w:r>
      <w:r>
        <w:rPr>
          <w:color w:val="000000" w:themeColor="text1"/>
          <w:spacing w:val="-3"/>
          <w14:textFill>
            <w14:solidFill>
              <w14:schemeClr w14:val="tx1"/>
            </w14:solidFill>
          </w14:textFill>
        </w:rPr>
        <w:t>清洁和素养</w:t>
      </w:r>
      <w:r>
        <w:rPr>
          <w:color w:val="000000" w:themeColor="text1"/>
          <w14:textFill>
            <w14:solidFill>
              <w14:schemeClr w14:val="tx1"/>
            </w14:solidFill>
          </w14:textFill>
        </w:rPr>
        <w:t>）</w:t>
      </w:r>
      <w:r>
        <w:rPr>
          <w:color w:val="000000" w:themeColor="text1"/>
          <w:spacing w:val="-3"/>
          <w14:textFill>
            <w14:solidFill>
              <w14:schemeClr w14:val="tx1"/>
            </w14:solidFill>
          </w14:textFill>
        </w:rPr>
        <w:t>的原则，如果过于脏乱，裁判员有权酌情扣分。</w:t>
      </w:r>
    </w:p>
    <w:p>
      <w:pPr>
        <w:pStyle w:val="16"/>
        <w:numPr>
          <w:ilvl w:val="0"/>
          <w:numId w:val="6"/>
        </w:numPr>
        <w:tabs>
          <w:tab w:val="left" w:pos="1202"/>
        </w:tabs>
        <w:spacing w:line="364" w:lineRule="auto"/>
        <w:ind w:firstLine="559"/>
        <w:rPr>
          <w:color w:val="000000" w:themeColor="text1"/>
          <w14:textFill>
            <w14:solidFill>
              <w14:schemeClr w14:val="tx1"/>
            </w14:solidFill>
          </w14:textFill>
        </w:rPr>
      </w:pPr>
      <w:r>
        <w:rPr>
          <w:color w:val="000000" w:themeColor="text1"/>
          <w14:textFill>
            <w14:solidFill>
              <w14:schemeClr w14:val="tx1"/>
            </w14:solidFill>
          </w14:textFill>
        </w:rPr>
        <w:t xml:space="preserve">在竞赛中如遇非人为因素造成的设备故障，经裁判确认后， </w:t>
      </w:r>
      <w:r>
        <w:rPr>
          <w:color w:val="000000" w:themeColor="text1"/>
          <w:spacing w:val="-3"/>
          <w14:textFill>
            <w14:solidFill>
              <w14:schemeClr w14:val="tx1"/>
            </w14:solidFill>
          </w14:textFill>
        </w:rPr>
        <w:t>可向裁判长申请补足排除故障的时间。</w:t>
      </w:r>
    </w:p>
    <w:p>
      <w:pPr>
        <w:pStyle w:val="16"/>
        <w:numPr>
          <w:ilvl w:val="0"/>
          <w:numId w:val="6"/>
        </w:numPr>
        <w:tabs>
          <w:tab w:val="left" w:pos="1202"/>
        </w:tabs>
        <w:spacing w:line="364" w:lineRule="auto"/>
        <w:ind w:right="283" w:firstLine="559"/>
        <w:rPr>
          <w:color w:val="000000" w:themeColor="text1"/>
          <w14:textFill>
            <w14:solidFill>
              <w14:schemeClr w14:val="tx1"/>
            </w14:solidFill>
          </w14:textFill>
        </w:rPr>
      </w:pPr>
      <w:r>
        <w:rPr>
          <w:color w:val="000000" w:themeColor="text1"/>
          <w14:textFill>
            <w14:solidFill>
              <w14:schemeClr w14:val="tx1"/>
            </w14:solidFill>
          </w14:textFill>
        </w:rPr>
        <w:t>参赛队欲提前结束竞赛，应向现场裁判员举手示意，由其记</w:t>
      </w:r>
      <w:r>
        <w:rPr>
          <w:color w:val="000000" w:themeColor="text1"/>
          <w:spacing w:val="-3"/>
          <w14:textFill>
            <w14:solidFill>
              <w14:schemeClr w14:val="tx1"/>
            </w14:solidFill>
          </w14:textFill>
        </w:rPr>
        <w:t>录竞赛终止时间，竞赛终止后，不得再进行任何与竞赛有关的操作。</w:t>
      </w:r>
    </w:p>
    <w:p>
      <w:pPr>
        <w:pStyle w:val="16"/>
        <w:numPr>
          <w:ilvl w:val="0"/>
          <w:numId w:val="6"/>
        </w:numPr>
        <w:tabs>
          <w:tab w:val="left" w:pos="1202"/>
        </w:tabs>
        <w:spacing w:line="358" w:lineRule="exact"/>
        <w:ind w:left="1201" w:right="0" w:hanging="423"/>
        <w:rPr>
          <w:color w:val="000000" w:themeColor="text1"/>
          <w14:textFill>
            <w14:solidFill>
              <w14:schemeClr w14:val="tx1"/>
            </w14:solidFill>
          </w14:textFill>
        </w:rPr>
      </w:pPr>
      <w:r>
        <w:rPr>
          <w:color w:val="000000" w:themeColor="text1"/>
          <w14:textFill>
            <w14:solidFill>
              <w14:schemeClr w14:val="tx1"/>
            </w14:solidFill>
          </w14:textFill>
        </w:rPr>
        <w:t>各竞赛队按照竞赛要求和赛题要求提交递交竞赛成果，禁止</w:t>
      </w:r>
    </w:p>
    <w:p>
      <w:pPr>
        <w:pStyle w:val="6"/>
        <w:spacing w:before="44"/>
        <w:ind w:right="0" w:firstLine="0"/>
        <w:rPr>
          <w:color w:val="000000" w:themeColor="text1"/>
          <w14:textFill>
            <w14:solidFill>
              <w14:schemeClr w14:val="tx1"/>
            </w14:solidFill>
          </w14:textFill>
        </w:rPr>
      </w:pPr>
      <w:r>
        <w:rPr>
          <w:color w:val="000000" w:themeColor="text1"/>
          <w14:textFill>
            <w14:solidFill>
              <w14:schemeClr w14:val="tx1"/>
            </w14:solidFill>
          </w14:textFill>
        </w:rPr>
        <w:t>在竞赛成果上做任何与竞赛无关的记号。</w:t>
      </w:r>
    </w:p>
    <w:p>
      <w:pPr>
        <w:pStyle w:val="16"/>
        <w:numPr>
          <w:ilvl w:val="0"/>
          <w:numId w:val="6"/>
        </w:numPr>
        <w:tabs>
          <w:tab w:val="left" w:pos="1202"/>
        </w:tabs>
        <w:spacing w:before="186" w:line="364" w:lineRule="auto"/>
        <w:ind w:firstLine="559"/>
        <w:rPr>
          <w:color w:val="000000" w:themeColor="text1"/>
          <w14:textFill>
            <w14:solidFill>
              <w14:schemeClr w14:val="tx1"/>
            </w14:solidFill>
          </w14:textFill>
        </w:rPr>
      </w:pPr>
      <w:r>
        <w:rPr>
          <w:color w:val="000000" w:themeColor="text1"/>
          <w14:textFill>
            <w14:solidFill>
              <w14:schemeClr w14:val="tx1"/>
            </w14:solidFill>
          </w14:textFill>
        </w:rPr>
        <w:t xml:space="preserve">竞赛操作结束后，参赛队要确认成功提交竞赛要求的文件， </w:t>
      </w:r>
      <w:r>
        <w:rPr>
          <w:color w:val="000000" w:themeColor="text1"/>
          <w:spacing w:val="-3"/>
          <w14:textFill>
            <w14:solidFill>
              <w14:schemeClr w14:val="tx1"/>
            </w14:solidFill>
          </w14:textFill>
        </w:rPr>
        <w:t>裁判员在竞赛结果的规定位置做标记，并与参赛队一起签字确认。</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十二、本竞赛项目的最终解释权归大赛组委会。</w:t>
      </w:r>
    </w:p>
    <w:p>
      <w:pPr>
        <w:spacing w:before="840" w:beforeLines="350" w:after="240" w:afterLines="100" w:line="360" w:lineRule="auto"/>
        <w:ind w:firstLine="560" w:firstLineChars="200"/>
        <w:jc w:val="right"/>
        <w:rPr>
          <w:szCs w:val="28"/>
        </w:rPr>
      </w:pPr>
      <w:r>
        <w:rPr>
          <w:rFonts w:hint="eastAsia"/>
          <w:szCs w:val="28"/>
        </w:rPr>
        <w:t>信息安全管理与评估竞赛组委会</w:t>
      </w:r>
    </w:p>
    <w:p>
      <w:pPr>
        <w:pStyle w:val="16"/>
        <w:widowControl/>
        <w:spacing w:before="240" w:beforeLines="100" w:after="240" w:afterLines="100"/>
        <w:ind w:left="641" w:leftChars="229" w:firstLine="140" w:firstLineChars="50"/>
        <w:jc w:val="right"/>
        <w:rPr>
          <w:color w:val="000000" w:themeColor="text1"/>
          <w14:textFill>
            <w14:solidFill>
              <w14:schemeClr w14:val="tx1"/>
            </w14:solidFill>
          </w14:textFill>
        </w:rPr>
      </w:pPr>
      <w:r>
        <w:rPr>
          <w:rFonts w:hint="eastAsia" w:cs="宋体"/>
          <w:szCs w:val="28"/>
        </w:rPr>
        <w:t>2022年</w:t>
      </w:r>
      <w:r>
        <w:rPr>
          <w:rFonts w:hint="eastAsia" w:cs="宋体"/>
          <w:szCs w:val="28"/>
          <w:lang w:val="en-US" w:eastAsia="zh-CN"/>
        </w:rPr>
        <w:t>10</w:t>
      </w:r>
      <w:r>
        <w:rPr>
          <w:rFonts w:hint="eastAsia" w:cs="宋体"/>
          <w:szCs w:val="28"/>
        </w:rPr>
        <w:t>月1</w:t>
      </w:r>
      <w:bookmarkStart w:id="2" w:name="_GoBack"/>
      <w:bookmarkEnd w:id="2"/>
      <w:r>
        <w:rPr>
          <w:rFonts w:hint="eastAsia" w:cs="宋体"/>
          <w:szCs w:val="28"/>
          <w:lang w:val="en-US" w:eastAsia="zh-CN"/>
        </w:rPr>
        <w:t>1</w:t>
      </w:r>
      <w:r>
        <w:rPr>
          <w:rFonts w:hint="eastAsia" w:cs="宋体"/>
          <w:szCs w:val="28"/>
        </w:rPr>
        <w:t>日</w:t>
      </w:r>
    </w:p>
    <w:sectPr>
      <w:footerReference r:id="rId3" w:type="default"/>
      <w:pgSz w:w="11910" w:h="16840"/>
      <w:pgMar w:top="1380" w:right="1420" w:bottom="1240" w:left="1580" w:header="0" w:footer="105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ight="0" w:firstLine="0"/>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9880600</wp:posOffset>
              </wp:positionV>
              <wp:extent cx="191770" cy="152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wps:spPr>
                    <wps:txbx>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0.15pt;margin-top:778pt;height:12pt;width:15.1pt;mso-position-horizontal-relative:page;mso-position-vertical-relative:page;z-index:-251657216;mso-width-relative:page;mso-height-relative:page;" filled="f" stroked="f" coordsize="21600,21600" o:gfxdata="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6k9F9kAAAANAQAADwAAAAAAAAABACAAAAAiAAAAZHJzL2Rvd25yZXYu&#10;eG1sUEsBAhQAFAAAAAgAh07iQLGcAqv6AQAAAwQAAA4AAAAAAAAAAQAgAAAAKAEAAGRycy9lMm9E&#10;b2MueG1sUEsFBgAAAAAGAAYAWQEAAJQFAAAAAA==&#10;">
              <v:fill on="f" focussize="0,0"/>
              <v:stroke on="f"/>
              <v:imagedata o:title=""/>
              <o:lock v:ext="edit" aspectratio="f"/>
              <v:textbox inset="0mm,0mm,0mm,0mm">
                <w:txbxContent>
                  <w:p>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7436A"/>
    <w:multiLevelType w:val="multilevel"/>
    <w:tmpl w:val="19B7436A"/>
    <w:lvl w:ilvl="0" w:tentative="0">
      <w:start w:val="1"/>
      <w:numFmt w:val="decimal"/>
      <w:lvlText w:val="%1."/>
      <w:lvlJc w:val="left"/>
      <w:pPr>
        <w:ind w:left="1045" w:hanging="267"/>
      </w:pPr>
      <w:rPr>
        <w:rFonts w:hint="default"/>
        <w:spacing w:val="-2"/>
        <w:w w:val="100"/>
        <w:lang w:val="en-US" w:eastAsia="zh-CN" w:bidi="ar-SA"/>
      </w:rPr>
    </w:lvl>
    <w:lvl w:ilvl="1" w:tentative="0">
      <w:start w:val="0"/>
      <w:numFmt w:val="bullet"/>
      <w:lvlText w:val="•"/>
      <w:lvlJc w:val="left"/>
      <w:pPr>
        <w:ind w:left="1826" w:hanging="267"/>
      </w:pPr>
      <w:rPr>
        <w:rFonts w:hint="default"/>
        <w:lang w:val="en-US" w:eastAsia="zh-CN" w:bidi="ar-SA"/>
      </w:rPr>
    </w:lvl>
    <w:lvl w:ilvl="2" w:tentative="0">
      <w:start w:val="0"/>
      <w:numFmt w:val="bullet"/>
      <w:lvlText w:val="•"/>
      <w:lvlJc w:val="left"/>
      <w:pPr>
        <w:ind w:left="2613" w:hanging="267"/>
      </w:pPr>
      <w:rPr>
        <w:rFonts w:hint="default"/>
        <w:lang w:val="en-US" w:eastAsia="zh-CN" w:bidi="ar-SA"/>
      </w:rPr>
    </w:lvl>
    <w:lvl w:ilvl="3" w:tentative="0">
      <w:start w:val="0"/>
      <w:numFmt w:val="bullet"/>
      <w:lvlText w:val="•"/>
      <w:lvlJc w:val="left"/>
      <w:pPr>
        <w:ind w:left="3399" w:hanging="267"/>
      </w:pPr>
      <w:rPr>
        <w:rFonts w:hint="default"/>
        <w:lang w:val="en-US" w:eastAsia="zh-CN" w:bidi="ar-SA"/>
      </w:rPr>
    </w:lvl>
    <w:lvl w:ilvl="4" w:tentative="0">
      <w:start w:val="0"/>
      <w:numFmt w:val="bullet"/>
      <w:lvlText w:val="•"/>
      <w:lvlJc w:val="left"/>
      <w:pPr>
        <w:ind w:left="4186" w:hanging="267"/>
      </w:pPr>
      <w:rPr>
        <w:rFonts w:hint="default"/>
        <w:lang w:val="en-US" w:eastAsia="zh-CN" w:bidi="ar-SA"/>
      </w:rPr>
    </w:lvl>
    <w:lvl w:ilvl="5" w:tentative="0">
      <w:start w:val="0"/>
      <w:numFmt w:val="bullet"/>
      <w:lvlText w:val="•"/>
      <w:lvlJc w:val="left"/>
      <w:pPr>
        <w:ind w:left="4973" w:hanging="267"/>
      </w:pPr>
      <w:rPr>
        <w:rFonts w:hint="default"/>
        <w:lang w:val="en-US" w:eastAsia="zh-CN" w:bidi="ar-SA"/>
      </w:rPr>
    </w:lvl>
    <w:lvl w:ilvl="6" w:tentative="0">
      <w:start w:val="0"/>
      <w:numFmt w:val="bullet"/>
      <w:lvlText w:val="•"/>
      <w:lvlJc w:val="left"/>
      <w:pPr>
        <w:ind w:left="5759" w:hanging="267"/>
      </w:pPr>
      <w:rPr>
        <w:rFonts w:hint="default"/>
        <w:lang w:val="en-US" w:eastAsia="zh-CN" w:bidi="ar-SA"/>
      </w:rPr>
    </w:lvl>
    <w:lvl w:ilvl="7" w:tentative="0">
      <w:start w:val="0"/>
      <w:numFmt w:val="bullet"/>
      <w:lvlText w:val="•"/>
      <w:lvlJc w:val="left"/>
      <w:pPr>
        <w:ind w:left="6546" w:hanging="267"/>
      </w:pPr>
      <w:rPr>
        <w:rFonts w:hint="default"/>
        <w:lang w:val="en-US" w:eastAsia="zh-CN" w:bidi="ar-SA"/>
      </w:rPr>
    </w:lvl>
    <w:lvl w:ilvl="8" w:tentative="0">
      <w:start w:val="0"/>
      <w:numFmt w:val="bullet"/>
      <w:lvlText w:val="•"/>
      <w:lvlJc w:val="left"/>
      <w:pPr>
        <w:ind w:left="7332" w:hanging="267"/>
      </w:pPr>
      <w:rPr>
        <w:rFonts w:hint="default"/>
        <w:lang w:val="en-US" w:eastAsia="zh-CN" w:bidi="ar-SA"/>
      </w:rPr>
    </w:lvl>
  </w:abstractNum>
  <w:abstractNum w:abstractNumId="1">
    <w:nsid w:val="23F17C2F"/>
    <w:multiLevelType w:val="multilevel"/>
    <w:tmpl w:val="23F17C2F"/>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2">
    <w:nsid w:val="3F0849CD"/>
    <w:multiLevelType w:val="multilevel"/>
    <w:tmpl w:val="3F0849CD"/>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3">
    <w:nsid w:val="6A4D5E08"/>
    <w:multiLevelType w:val="multilevel"/>
    <w:tmpl w:val="6A4D5E08"/>
    <w:lvl w:ilvl="0" w:tentative="0">
      <w:start w:val="1"/>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4">
    <w:nsid w:val="6E8943E5"/>
    <w:multiLevelType w:val="multilevel"/>
    <w:tmpl w:val="6E8943E5"/>
    <w:lvl w:ilvl="0" w:tentative="0">
      <w:start w:val="9"/>
      <w:numFmt w:val="decimal"/>
      <w:lvlText w:val="%1."/>
      <w:lvlJc w:val="left"/>
      <w:pPr>
        <w:ind w:left="220" w:hanging="284"/>
      </w:pPr>
      <w:rPr>
        <w:rFonts w:hint="default" w:ascii="仿宋" w:hAnsi="仿宋" w:eastAsia="仿宋" w:cs="仿宋"/>
        <w:spacing w:val="-2"/>
        <w:w w:val="100"/>
        <w:sz w:val="26"/>
        <w:szCs w:val="26"/>
        <w:lang w:val="en-US" w:eastAsia="zh-CN" w:bidi="ar-SA"/>
      </w:rPr>
    </w:lvl>
    <w:lvl w:ilvl="1" w:tentative="0">
      <w:start w:val="0"/>
      <w:numFmt w:val="bullet"/>
      <w:lvlText w:val="•"/>
      <w:lvlJc w:val="left"/>
      <w:pPr>
        <w:ind w:left="1088" w:hanging="284"/>
      </w:pPr>
      <w:rPr>
        <w:rFonts w:hint="default"/>
        <w:lang w:val="en-US" w:eastAsia="zh-CN" w:bidi="ar-SA"/>
      </w:rPr>
    </w:lvl>
    <w:lvl w:ilvl="2" w:tentative="0">
      <w:start w:val="0"/>
      <w:numFmt w:val="bullet"/>
      <w:lvlText w:val="•"/>
      <w:lvlJc w:val="left"/>
      <w:pPr>
        <w:ind w:left="1957" w:hanging="284"/>
      </w:pPr>
      <w:rPr>
        <w:rFonts w:hint="default"/>
        <w:lang w:val="en-US" w:eastAsia="zh-CN" w:bidi="ar-SA"/>
      </w:rPr>
    </w:lvl>
    <w:lvl w:ilvl="3" w:tentative="0">
      <w:start w:val="0"/>
      <w:numFmt w:val="bullet"/>
      <w:lvlText w:val="•"/>
      <w:lvlJc w:val="left"/>
      <w:pPr>
        <w:ind w:left="2825" w:hanging="284"/>
      </w:pPr>
      <w:rPr>
        <w:rFonts w:hint="default"/>
        <w:lang w:val="en-US" w:eastAsia="zh-CN" w:bidi="ar-SA"/>
      </w:rPr>
    </w:lvl>
    <w:lvl w:ilvl="4" w:tentative="0">
      <w:start w:val="0"/>
      <w:numFmt w:val="bullet"/>
      <w:lvlText w:val="•"/>
      <w:lvlJc w:val="left"/>
      <w:pPr>
        <w:ind w:left="3694" w:hanging="284"/>
      </w:pPr>
      <w:rPr>
        <w:rFonts w:hint="default"/>
        <w:lang w:val="en-US" w:eastAsia="zh-CN" w:bidi="ar-SA"/>
      </w:rPr>
    </w:lvl>
    <w:lvl w:ilvl="5" w:tentative="0">
      <w:start w:val="0"/>
      <w:numFmt w:val="bullet"/>
      <w:lvlText w:val="•"/>
      <w:lvlJc w:val="left"/>
      <w:pPr>
        <w:ind w:left="4563" w:hanging="284"/>
      </w:pPr>
      <w:rPr>
        <w:rFonts w:hint="default"/>
        <w:lang w:val="en-US" w:eastAsia="zh-CN" w:bidi="ar-SA"/>
      </w:rPr>
    </w:lvl>
    <w:lvl w:ilvl="6" w:tentative="0">
      <w:start w:val="0"/>
      <w:numFmt w:val="bullet"/>
      <w:lvlText w:val="•"/>
      <w:lvlJc w:val="left"/>
      <w:pPr>
        <w:ind w:left="5431" w:hanging="284"/>
      </w:pPr>
      <w:rPr>
        <w:rFonts w:hint="default"/>
        <w:lang w:val="en-US" w:eastAsia="zh-CN" w:bidi="ar-SA"/>
      </w:rPr>
    </w:lvl>
    <w:lvl w:ilvl="7" w:tentative="0">
      <w:start w:val="0"/>
      <w:numFmt w:val="bullet"/>
      <w:lvlText w:val="•"/>
      <w:lvlJc w:val="left"/>
      <w:pPr>
        <w:ind w:left="6300" w:hanging="284"/>
      </w:pPr>
      <w:rPr>
        <w:rFonts w:hint="default"/>
        <w:lang w:val="en-US" w:eastAsia="zh-CN" w:bidi="ar-SA"/>
      </w:rPr>
    </w:lvl>
    <w:lvl w:ilvl="8" w:tentative="0">
      <w:start w:val="0"/>
      <w:numFmt w:val="bullet"/>
      <w:lvlText w:val="•"/>
      <w:lvlJc w:val="left"/>
      <w:pPr>
        <w:ind w:left="7168" w:hanging="284"/>
      </w:pPr>
      <w:rPr>
        <w:rFonts w:hint="default"/>
        <w:lang w:val="en-US" w:eastAsia="zh-CN" w:bidi="ar-SA"/>
      </w:rPr>
    </w:lvl>
  </w:abstractNum>
  <w:abstractNum w:abstractNumId="5">
    <w:nsid w:val="7E530AD0"/>
    <w:multiLevelType w:val="multilevel"/>
    <w:tmpl w:val="7E530AD0"/>
    <w:lvl w:ilvl="0" w:tentative="0">
      <w:start w:val="1"/>
      <w:numFmt w:val="decimal"/>
      <w:lvlText w:val="（%1）"/>
      <w:lvlJc w:val="left"/>
      <w:pPr>
        <w:ind w:left="220" w:hanging="702"/>
      </w:pPr>
      <w:rPr>
        <w:rFonts w:hint="default" w:ascii="仿宋" w:hAnsi="仿宋" w:eastAsia="仿宋" w:cs="仿宋"/>
        <w:spacing w:val="-49"/>
        <w:w w:val="100"/>
        <w:sz w:val="26"/>
        <w:szCs w:val="26"/>
        <w:lang w:val="en-US" w:eastAsia="zh-CN" w:bidi="ar-SA"/>
      </w:rPr>
    </w:lvl>
    <w:lvl w:ilvl="1" w:tentative="0">
      <w:start w:val="0"/>
      <w:numFmt w:val="bullet"/>
      <w:lvlText w:val="•"/>
      <w:lvlJc w:val="left"/>
      <w:pPr>
        <w:ind w:left="1088" w:hanging="702"/>
      </w:pPr>
      <w:rPr>
        <w:rFonts w:hint="default"/>
        <w:lang w:val="en-US" w:eastAsia="zh-CN" w:bidi="ar-SA"/>
      </w:rPr>
    </w:lvl>
    <w:lvl w:ilvl="2" w:tentative="0">
      <w:start w:val="0"/>
      <w:numFmt w:val="bullet"/>
      <w:lvlText w:val="•"/>
      <w:lvlJc w:val="left"/>
      <w:pPr>
        <w:ind w:left="1957" w:hanging="702"/>
      </w:pPr>
      <w:rPr>
        <w:rFonts w:hint="default"/>
        <w:lang w:val="en-US" w:eastAsia="zh-CN" w:bidi="ar-SA"/>
      </w:rPr>
    </w:lvl>
    <w:lvl w:ilvl="3" w:tentative="0">
      <w:start w:val="0"/>
      <w:numFmt w:val="bullet"/>
      <w:lvlText w:val="•"/>
      <w:lvlJc w:val="left"/>
      <w:pPr>
        <w:ind w:left="2825" w:hanging="702"/>
      </w:pPr>
      <w:rPr>
        <w:rFonts w:hint="default"/>
        <w:lang w:val="en-US" w:eastAsia="zh-CN" w:bidi="ar-SA"/>
      </w:rPr>
    </w:lvl>
    <w:lvl w:ilvl="4" w:tentative="0">
      <w:start w:val="0"/>
      <w:numFmt w:val="bullet"/>
      <w:lvlText w:val="•"/>
      <w:lvlJc w:val="left"/>
      <w:pPr>
        <w:ind w:left="3694" w:hanging="702"/>
      </w:pPr>
      <w:rPr>
        <w:rFonts w:hint="default"/>
        <w:lang w:val="en-US" w:eastAsia="zh-CN" w:bidi="ar-SA"/>
      </w:rPr>
    </w:lvl>
    <w:lvl w:ilvl="5" w:tentative="0">
      <w:start w:val="0"/>
      <w:numFmt w:val="bullet"/>
      <w:lvlText w:val="•"/>
      <w:lvlJc w:val="left"/>
      <w:pPr>
        <w:ind w:left="4563" w:hanging="702"/>
      </w:pPr>
      <w:rPr>
        <w:rFonts w:hint="default"/>
        <w:lang w:val="en-US" w:eastAsia="zh-CN" w:bidi="ar-SA"/>
      </w:rPr>
    </w:lvl>
    <w:lvl w:ilvl="6" w:tentative="0">
      <w:start w:val="0"/>
      <w:numFmt w:val="bullet"/>
      <w:lvlText w:val="•"/>
      <w:lvlJc w:val="left"/>
      <w:pPr>
        <w:ind w:left="5431" w:hanging="702"/>
      </w:pPr>
      <w:rPr>
        <w:rFonts w:hint="default"/>
        <w:lang w:val="en-US" w:eastAsia="zh-CN" w:bidi="ar-SA"/>
      </w:rPr>
    </w:lvl>
    <w:lvl w:ilvl="7" w:tentative="0">
      <w:start w:val="0"/>
      <w:numFmt w:val="bullet"/>
      <w:lvlText w:val="•"/>
      <w:lvlJc w:val="left"/>
      <w:pPr>
        <w:ind w:left="6300" w:hanging="702"/>
      </w:pPr>
      <w:rPr>
        <w:rFonts w:hint="default"/>
        <w:lang w:val="en-US" w:eastAsia="zh-CN" w:bidi="ar-SA"/>
      </w:rPr>
    </w:lvl>
    <w:lvl w:ilvl="8" w:tentative="0">
      <w:start w:val="0"/>
      <w:numFmt w:val="bullet"/>
      <w:lvlText w:val="•"/>
      <w:lvlJc w:val="left"/>
      <w:pPr>
        <w:ind w:left="7168" w:hanging="702"/>
      </w:pPr>
      <w:rPr>
        <w:rFonts w:hint="default"/>
        <w:lang w:val="en-US" w:eastAsia="zh-CN" w:bidi="ar-SA"/>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NmZkMzljN2ExMGZkOGJiZDdjMDJmNTliZmUxMGEifQ=="/>
  </w:docVars>
  <w:rsids>
    <w:rsidRoot w:val="00E90811"/>
    <w:rsid w:val="00027F20"/>
    <w:rsid w:val="00084A20"/>
    <w:rsid w:val="000E7140"/>
    <w:rsid w:val="001024DB"/>
    <w:rsid w:val="001638D6"/>
    <w:rsid w:val="001811D4"/>
    <w:rsid w:val="001B7470"/>
    <w:rsid w:val="00201BE5"/>
    <w:rsid w:val="00211C7C"/>
    <w:rsid w:val="00216D6C"/>
    <w:rsid w:val="002B22F2"/>
    <w:rsid w:val="002C533E"/>
    <w:rsid w:val="002F6C1D"/>
    <w:rsid w:val="00306C56"/>
    <w:rsid w:val="00313DCB"/>
    <w:rsid w:val="003236D2"/>
    <w:rsid w:val="00330012"/>
    <w:rsid w:val="00357853"/>
    <w:rsid w:val="003F7D1E"/>
    <w:rsid w:val="004265F1"/>
    <w:rsid w:val="004400CE"/>
    <w:rsid w:val="0047290B"/>
    <w:rsid w:val="0049255A"/>
    <w:rsid w:val="004A368A"/>
    <w:rsid w:val="004A752F"/>
    <w:rsid w:val="004C46D5"/>
    <w:rsid w:val="004D48ED"/>
    <w:rsid w:val="00507258"/>
    <w:rsid w:val="00565249"/>
    <w:rsid w:val="00583F76"/>
    <w:rsid w:val="00586605"/>
    <w:rsid w:val="005A57EA"/>
    <w:rsid w:val="00690EAD"/>
    <w:rsid w:val="006C5FF0"/>
    <w:rsid w:val="006D05D5"/>
    <w:rsid w:val="00701EA2"/>
    <w:rsid w:val="00704CA2"/>
    <w:rsid w:val="0076395B"/>
    <w:rsid w:val="00790685"/>
    <w:rsid w:val="007E463E"/>
    <w:rsid w:val="0080452D"/>
    <w:rsid w:val="00824F0D"/>
    <w:rsid w:val="00855E30"/>
    <w:rsid w:val="008630B7"/>
    <w:rsid w:val="0087554E"/>
    <w:rsid w:val="00881E4B"/>
    <w:rsid w:val="0089153B"/>
    <w:rsid w:val="00893C84"/>
    <w:rsid w:val="00897D0B"/>
    <w:rsid w:val="008D60EE"/>
    <w:rsid w:val="008F0F3F"/>
    <w:rsid w:val="008F6C2D"/>
    <w:rsid w:val="009561D4"/>
    <w:rsid w:val="00991345"/>
    <w:rsid w:val="009A24C7"/>
    <w:rsid w:val="009A302C"/>
    <w:rsid w:val="009A42EE"/>
    <w:rsid w:val="009C010C"/>
    <w:rsid w:val="009D35E5"/>
    <w:rsid w:val="00A11DC0"/>
    <w:rsid w:val="00A13368"/>
    <w:rsid w:val="00A24F48"/>
    <w:rsid w:val="00A3489D"/>
    <w:rsid w:val="00A65E5E"/>
    <w:rsid w:val="00A71D39"/>
    <w:rsid w:val="00A75F73"/>
    <w:rsid w:val="00A8798F"/>
    <w:rsid w:val="00B628FD"/>
    <w:rsid w:val="00B7646E"/>
    <w:rsid w:val="00B9387D"/>
    <w:rsid w:val="00BE30FB"/>
    <w:rsid w:val="00C0105D"/>
    <w:rsid w:val="00C14379"/>
    <w:rsid w:val="00C21BB5"/>
    <w:rsid w:val="00C4434A"/>
    <w:rsid w:val="00C56421"/>
    <w:rsid w:val="00C8595E"/>
    <w:rsid w:val="00D00EE9"/>
    <w:rsid w:val="00D21516"/>
    <w:rsid w:val="00D575E8"/>
    <w:rsid w:val="00D90C34"/>
    <w:rsid w:val="00DA5772"/>
    <w:rsid w:val="00DD01F0"/>
    <w:rsid w:val="00DD1850"/>
    <w:rsid w:val="00DD76F6"/>
    <w:rsid w:val="00E20015"/>
    <w:rsid w:val="00E31395"/>
    <w:rsid w:val="00E76F1F"/>
    <w:rsid w:val="00E90811"/>
    <w:rsid w:val="00ED5BF5"/>
    <w:rsid w:val="00EE5834"/>
    <w:rsid w:val="00EF78B8"/>
    <w:rsid w:val="00F238FB"/>
    <w:rsid w:val="00F64B46"/>
    <w:rsid w:val="00F65424"/>
    <w:rsid w:val="00FE2AF7"/>
    <w:rsid w:val="1611180D"/>
    <w:rsid w:val="2AC82979"/>
    <w:rsid w:val="32DE20F7"/>
    <w:rsid w:val="3E1276A1"/>
    <w:rsid w:val="42275AB2"/>
    <w:rsid w:val="62202A19"/>
    <w:rsid w:val="6DCF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8"/>
      <w:szCs w:val="22"/>
      <w:lang w:val="en-US" w:eastAsia="zh-CN" w:bidi="ar-SA"/>
    </w:rPr>
  </w:style>
  <w:style w:type="paragraph" w:styleId="2">
    <w:name w:val="heading 1"/>
    <w:basedOn w:val="1"/>
    <w:next w:val="1"/>
    <w:qFormat/>
    <w:uiPriority w:val="9"/>
    <w:pPr>
      <w:adjustRightInd w:val="0"/>
      <w:spacing w:before="240" w:beforeLines="100" w:after="240" w:afterLines="100"/>
      <w:outlineLvl w:val="0"/>
    </w:pPr>
    <w:rPr>
      <w:rFonts w:ascii="华文中宋" w:hAnsi="华文中宋" w:cs="华文中宋"/>
      <w:b/>
      <w:bCs/>
      <w:w w:val="95"/>
      <w:sz w:val="32"/>
      <w:szCs w:val="36"/>
    </w:rPr>
  </w:style>
  <w:style w:type="paragraph" w:styleId="3">
    <w:name w:val="heading 2"/>
    <w:basedOn w:val="1"/>
    <w:next w:val="1"/>
    <w:unhideWhenUsed/>
    <w:qFormat/>
    <w:uiPriority w:val="9"/>
    <w:pPr>
      <w:spacing w:before="240" w:beforeLines="100" w:after="240" w:afterLines="100" w:line="353" w:lineRule="exact"/>
      <w:outlineLvl w:val="1"/>
    </w:pPr>
    <w:rPr>
      <w:b/>
      <w:bCs/>
      <w:szCs w:val="28"/>
    </w:rPr>
  </w:style>
  <w:style w:type="paragraph" w:styleId="4">
    <w:name w:val="heading 3"/>
    <w:basedOn w:val="1"/>
    <w:next w:val="1"/>
    <w:link w:val="18"/>
    <w:unhideWhenUsed/>
    <w:qFormat/>
    <w:uiPriority w:val="9"/>
    <w:pPr>
      <w:keepNext/>
      <w:keepLines/>
      <w:outlineLvl w:val="2"/>
    </w:pPr>
    <w:rPr>
      <w:b/>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unhideWhenUsed/>
    <w:qFormat/>
    <w:uiPriority w:val="0"/>
  </w:style>
  <w:style w:type="paragraph" w:styleId="6">
    <w:name w:val="Body Text"/>
    <w:basedOn w:val="1"/>
    <w:qFormat/>
    <w:uiPriority w:val="1"/>
    <w:pPr>
      <w:ind w:left="220" w:right="377" w:firstLine="559"/>
    </w:pPr>
    <w:rPr>
      <w:szCs w:val="28"/>
    </w:rPr>
  </w:style>
  <w:style w:type="paragraph" w:styleId="7">
    <w:name w:val="Balloon Text"/>
    <w:basedOn w:val="1"/>
    <w:link w:val="23"/>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99"/>
    <w:pPr>
      <w:ind w:left="220" w:right="377" w:firstLine="559"/>
    </w:pPr>
  </w:style>
  <w:style w:type="paragraph" w:customStyle="1" w:styleId="17">
    <w:name w:val="Table Paragraph"/>
    <w:basedOn w:val="1"/>
    <w:qFormat/>
    <w:uiPriority w:val="1"/>
    <w:pPr>
      <w:jc w:val="center"/>
    </w:pPr>
    <w:rPr>
      <w:rFonts w:ascii="宋体" w:hAnsi="宋体" w:eastAsia="宋体" w:cs="宋体"/>
    </w:rPr>
  </w:style>
  <w:style w:type="character" w:customStyle="1" w:styleId="18">
    <w:name w:val="标题 3 Char"/>
    <w:basedOn w:val="13"/>
    <w:link w:val="4"/>
    <w:qFormat/>
    <w:uiPriority w:val="9"/>
    <w:rPr>
      <w:rFonts w:ascii="仿宋" w:hAnsi="仿宋" w:eastAsia="仿宋" w:cs="仿宋"/>
      <w:b/>
      <w:bCs/>
      <w:sz w:val="24"/>
      <w:szCs w:val="32"/>
      <w:lang w:eastAsia="zh-CN"/>
    </w:rPr>
  </w:style>
  <w:style w:type="character" w:customStyle="1" w:styleId="19">
    <w:name w:val="批注文字 Char"/>
    <w:basedOn w:val="13"/>
    <w:link w:val="5"/>
    <w:qFormat/>
    <w:uiPriority w:val="0"/>
    <w:rPr>
      <w:rFonts w:ascii="仿宋" w:hAnsi="仿宋" w:eastAsia="仿宋" w:cs="仿宋"/>
      <w:sz w:val="28"/>
      <w:lang w:eastAsia="zh-CN"/>
    </w:rPr>
  </w:style>
  <w:style w:type="character" w:customStyle="1" w:styleId="20">
    <w:name w:val="批注主题 Char"/>
    <w:basedOn w:val="19"/>
    <w:link w:val="10"/>
    <w:semiHidden/>
    <w:qFormat/>
    <w:uiPriority w:val="99"/>
    <w:rPr>
      <w:rFonts w:ascii="仿宋" w:hAnsi="仿宋" w:eastAsia="仿宋" w:cs="仿宋"/>
      <w:b/>
      <w:bCs/>
      <w:sz w:val="28"/>
      <w:lang w:eastAsia="zh-CN"/>
    </w:rPr>
  </w:style>
  <w:style w:type="character" w:customStyle="1" w:styleId="21">
    <w:name w:val="页眉 Char"/>
    <w:basedOn w:val="13"/>
    <w:link w:val="9"/>
    <w:qFormat/>
    <w:uiPriority w:val="99"/>
    <w:rPr>
      <w:rFonts w:ascii="仿宋" w:hAnsi="仿宋" w:eastAsia="仿宋" w:cs="仿宋"/>
      <w:sz w:val="18"/>
      <w:szCs w:val="18"/>
      <w:lang w:eastAsia="zh-CN"/>
    </w:rPr>
  </w:style>
  <w:style w:type="character" w:customStyle="1" w:styleId="22">
    <w:name w:val="页脚 Char"/>
    <w:basedOn w:val="13"/>
    <w:link w:val="8"/>
    <w:qFormat/>
    <w:uiPriority w:val="99"/>
    <w:rPr>
      <w:rFonts w:ascii="仿宋" w:hAnsi="仿宋" w:eastAsia="仿宋" w:cs="仿宋"/>
      <w:sz w:val="18"/>
      <w:szCs w:val="18"/>
      <w:lang w:eastAsia="zh-CN"/>
    </w:rPr>
  </w:style>
  <w:style w:type="character" w:customStyle="1" w:styleId="23">
    <w:name w:val="批注框文本 Char"/>
    <w:basedOn w:val="13"/>
    <w:link w:val="7"/>
    <w:semiHidden/>
    <w:qFormat/>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7B975-593A-42D7-A20B-044FC312CB0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5845</Words>
  <Characters>6390</Characters>
  <Lines>48</Lines>
  <Paragraphs>13</Paragraphs>
  <TotalTime>13</TotalTime>
  <ScaleCrop>false</ScaleCrop>
  <LinksUpToDate>false</LinksUpToDate>
  <CharactersWithSpaces>6493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2022-09-15T08:16:00Z</dcterms:created>
  <dc:creator>pc</dc:creator>
  <cp:lastModifiedBy>身未动，心已远。</cp:lastModifiedBy>
  <dcterms:modified xsi:type="dcterms:W3CDTF">2022-11-02T12:25:12Z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WPS 文字</vt:lpwstr>
  </property>
  <property fmtid="{D5CDD505-2E9C-101B-9397-08002B2CF9AE}" pid="4" name="LastSaved">
    <vt:filetime>2022-04-11T00:00:00Z</vt:filetime>
  </property>
  <property fmtid="{D5CDD505-2E9C-101B-9397-08002B2CF9AE}" pid="5" name="KSOProductBuildVer">
    <vt:lpwstr>2052-11.1.0.12598</vt:lpwstr>
  </property>
  <property fmtid="{D5CDD505-2E9C-101B-9397-08002B2CF9AE}" pid="6" name="ICV">
    <vt:lpwstr>417E031BE36842CC8A3C2F82A81C156C</vt:lpwstr>
  </property>
</Properties>
</file>