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del w:id="0" w:author="孙铄橼" w:date="2025-02-27T11:25:35Z">
        <w:bookmarkStart w:id="0" w:name="_GoBack"/>
        <w:bookmarkEnd w:id="0"/>
        <w:r>
          <w:rPr>
            <w:rFonts w:hint="eastAsia" w:ascii="仿宋" w:hAnsi="仿宋" w:eastAsia="仿宋" w:cs="仿宋"/>
            <w:sz w:val="28"/>
            <w:szCs w:val="28"/>
          </w:rPr>
          <w:delText>：</w:delText>
        </w:r>
      </w:del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snapToGrid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snapToGrid/>
          <w:color w:val="auto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snapToGrid/>
          <w:color w:val="auto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snapToGrid/>
          <w:color w:val="auto"/>
          <w:sz w:val="36"/>
          <w:szCs w:val="36"/>
        </w:rPr>
        <w:t>年浙江省职业院校技能大赛高职组</w:t>
      </w: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napToGrid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napToGrid/>
          <w:color w:val="auto"/>
          <w:sz w:val="36"/>
          <w:szCs w:val="36"/>
        </w:rPr>
        <w:t>财经商贸赛道二“智慧金融组”赛项规程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b/>
          <w:snapToGrid/>
          <w:color w:val="auto"/>
          <w:sz w:val="24"/>
          <w:szCs w:val="24"/>
        </w:rPr>
      </w:pP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ascii="宋体" w:hAnsi="宋体" w:eastAsia="宋体" w:cs="宋体"/>
          <w:b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</w:rPr>
        <w:t>一、赛项名称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del w:id="1" w:author="孙铄橼" w:date="2025-02-27T11:21:45Z"/>
          <w:rFonts w:hint="eastAsia" w:ascii="宋体" w:hAnsi="宋体" w:eastAsia="宋体" w:cs="宋体"/>
          <w:bCs/>
          <w:snapToGrid/>
          <w:color w:val="auto"/>
          <w:sz w:val="24"/>
          <w:szCs w:val="24"/>
        </w:rPr>
      </w:pPr>
      <w:del w:id="2" w:author="孙铄橼" w:date="2025-02-27T11:21:45Z">
        <w:r>
          <w:rPr>
            <w:rFonts w:hint="eastAsia" w:ascii="宋体" w:hAnsi="宋体" w:eastAsia="宋体" w:cs="宋体"/>
            <w:bCs/>
            <w:snapToGrid/>
            <w:color w:val="auto"/>
            <w:sz w:val="24"/>
            <w:szCs w:val="24"/>
          </w:rPr>
          <w:delText>赛</w:delText>
        </w:r>
      </w:del>
      <w:del w:id="3" w:author="孙铄橼" w:date="2025-02-27T11:21:45Z">
        <w:r>
          <w:rPr>
            <w:rFonts w:hint="eastAsia" w:ascii="宋体" w:hAnsi="宋体" w:eastAsia="宋体" w:cs="宋体"/>
            <w:bCs/>
            <w:snapToGrid/>
            <w:color w:val="auto"/>
            <w:sz w:val="24"/>
            <w:szCs w:val="24"/>
            <w:lang w:val="en-US" w:eastAsia="zh-CN"/>
          </w:rPr>
          <w:delText>道</w:delText>
        </w:r>
      </w:del>
      <w:del w:id="4" w:author="孙铄橼" w:date="2025-02-27T11:21:45Z">
        <w:r>
          <w:rPr>
            <w:rFonts w:hint="eastAsia" w:ascii="宋体" w:hAnsi="宋体" w:eastAsia="宋体" w:cs="宋体"/>
            <w:bCs/>
            <w:snapToGrid/>
            <w:color w:val="auto"/>
            <w:sz w:val="24"/>
            <w:szCs w:val="24"/>
          </w:rPr>
          <w:delText>：财经商贸赛道二</w:delText>
        </w:r>
      </w:del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ins w:id="5" w:author="孙铄橼" w:date="2025-02-27T11:21:22Z"/>
          <w:rFonts w:hint="eastAsia" w:ascii="宋体" w:hAnsi="宋体" w:eastAsia="宋体" w:cs="宋体"/>
          <w:bCs/>
          <w:snapToGrid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赛项</w:t>
      </w:r>
      <w:ins w:id="6" w:author="孙铄橼" w:date="2025-02-27T11:21:05Z">
        <w:r>
          <w:rPr>
            <w:rFonts w:hint="eastAsia" w:ascii="宋体" w:hAnsi="宋体" w:eastAsia="宋体" w:cs="宋体"/>
            <w:bCs/>
            <w:snapToGrid/>
            <w:color w:val="auto"/>
            <w:sz w:val="24"/>
            <w:szCs w:val="24"/>
            <w:lang w:val="en-US" w:eastAsia="zh-CN"/>
          </w:rPr>
          <w:t>名称</w:t>
        </w:r>
      </w:ins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val="en-US" w:eastAsia="zh-CN"/>
        </w:rPr>
        <w:t>智慧金融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ins w:id="7" w:author="孙铄橼" w:date="2025-02-27T11:21:40Z"/>
          <w:rFonts w:hint="eastAsia" w:ascii="宋体" w:hAnsi="宋体" w:eastAsia="宋体" w:cs="宋体"/>
          <w:bCs/>
          <w:snapToGrid/>
          <w:color w:val="auto"/>
          <w:sz w:val="24"/>
          <w:szCs w:val="24"/>
          <w:lang w:val="en-US" w:eastAsia="zh-CN"/>
        </w:rPr>
      </w:pPr>
      <w:ins w:id="8" w:author="孙铄橼" w:date="2025-02-27T11:21:25Z">
        <w:r>
          <w:rPr>
            <w:rFonts w:hint="eastAsia" w:ascii="宋体" w:hAnsi="宋体" w:eastAsia="宋体" w:cs="宋体"/>
            <w:bCs/>
            <w:snapToGrid/>
            <w:color w:val="auto"/>
            <w:sz w:val="24"/>
            <w:szCs w:val="24"/>
            <w:lang w:val="en-US" w:eastAsia="zh-CN"/>
          </w:rPr>
          <w:t>赛项</w:t>
        </w:r>
      </w:ins>
      <w:ins w:id="9" w:author="孙铄橼" w:date="2025-02-27T11:21:27Z">
        <w:r>
          <w:rPr>
            <w:rFonts w:hint="eastAsia" w:ascii="宋体" w:hAnsi="宋体" w:eastAsia="宋体" w:cs="宋体"/>
            <w:bCs/>
            <w:snapToGrid/>
            <w:color w:val="auto"/>
            <w:sz w:val="24"/>
            <w:szCs w:val="24"/>
            <w:lang w:val="en-US" w:eastAsia="zh-CN"/>
          </w:rPr>
          <w:t>组别：</w:t>
        </w:r>
      </w:ins>
      <w:ins w:id="10" w:author="孙铄橼" w:date="2025-02-27T11:21:29Z">
        <w:r>
          <w:rPr>
            <w:rFonts w:hint="eastAsia" w:ascii="宋体" w:hAnsi="宋体" w:eastAsia="宋体" w:cs="宋体"/>
            <w:bCs/>
            <w:snapToGrid/>
            <w:color w:val="auto"/>
            <w:sz w:val="24"/>
            <w:szCs w:val="24"/>
            <w:lang w:val="en-US" w:eastAsia="zh-CN"/>
          </w:rPr>
          <w:t>高职组</w:t>
        </w:r>
      </w:ins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default" w:ascii="宋体" w:hAnsi="宋体" w:eastAsia="宋体" w:cs="宋体"/>
          <w:bCs/>
          <w:snapToGrid/>
          <w:color w:val="auto"/>
          <w:sz w:val="24"/>
          <w:szCs w:val="24"/>
          <w:lang w:val="en-US" w:eastAsia="zh-CN"/>
        </w:rPr>
        <w:pPrChange w:id="11" w:author="孙铄橼" w:date="2025-02-27T11:21:43Z">
          <w:pPr>
            <w:pStyle w:val="3"/>
            <w:widowControl w:val="0"/>
            <w:kinsoku/>
            <w:autoSpaceDE/>
            <w:autoSpaceDN/>
            <w:adjustRightInd/>
            <w:snapToGrid/>
            <w:spacing w:line="360" w:lineRule="auto"/>
            <w:ind w:firstLine="420"/>
            <w:jc w:val="both"/>
            <w:textAlignment w:val="auto"/>
          </w:pPr>
        </w:pPrChange>
      </w:pPr>
      <w:ins w:id="12" w:author="孙铄橼" w:date="2025-02-27T11:21:41Z">
        <w:r>
          <w:rPr>
            <w:rFonts w:hint="eastAsia" w:ascii="宋体" w:hAnsi="宋体" w:eastAsia="宋体" w:cs="宋体"/>
            <w:bCs/>
            <w:snapToGrid/>
            <w:color w:val="auto"/>
            <w:sz w:val="24"/>
            <w:szCs w:val="24"/>
          </w:rPr>
          <w:t>赛</w:t>
        </w:r>
      </w:ins>
      <w:ins w:id="13" w:author="孙铄橼" w:date="2025-02-27T11:21:41Z">
        <w:r>
          <w:rPr>
            <w:rFonts w:hint="eastAsia" w:ascii="宋体" w:hAnsi="宋体" w:eastAsia="宋体" w:cs="宋体"/>
            <w:bCs/>
            <w:snapToGrid/>
            <w:color w:val="auto"/>
            <w:sz w:val="24"/>
            <w:szCs w:val="24"/>
            <w:lang w:val="en-US" w:eastAsia="zh-CN"/>
          </w:rPr>
          <w:t>项归属赛道</w:t>
        </w:r>
      </w:ins>
      <w:ins w:id="14" w:author="孙铄橼" w:date="2025-02-27T11:21:41Z">
        <w:r>
          <w:rPr>
            <w:rFonts w:hint="eastAsia" w:ascii="宋体" w:hAnsi="宋体" w:eastAsia="宋体" w:cs="宋体"/>
            <w:bCs/>
            <w:snapToGrid/>
            <w:color w:val="auto"/>
            <w:sz w:val="24"/>
            <w:szCs w:val="24"/>
          </w:rPr>
          <w:t>：财经商贸赛道二</w:t>
        </w:r>
      </w:ins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ascii="宋体" w:hAnsi="宋体" w:eastAsia="宋体" w:cs="宋体"/>
          <w:b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</w:rPr>
        <w:t>二、竞赛时间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</w:t>
      </w:r>
      <w:ins w:id="15" w:author="孙铄橼" w:date="2025-02-27T11:18:19Z">
        <w:r>
          <w:rPr>
            <w:rFonts w:hint="eastAsia" w:ascii="宋体" w:hAnsi="宋体" w:cs="宋体"/>
            <w:sz w:val="24"/>
            <w:lang w:eastAsia="zh-CN"/>
          </w:rPr>
          <w:t>—</w:t>
        </w:r>
      </w:ins>
      <w:del w:id="16" w:author="孙铄橼" w:date="2025-02-27T11:18:19Z">
        <w:r>
          <w:rPr>
            <w:rFonts w:hint="eastAsia" w:ascii="宋体" w:hAnsi="宋体" w:cs="宋体"/>
            <w:sz w:val="24"/>
            <w:lang w:val="en-US" w:eastAsia="zh-CN"/>
          </w:rPr>
          <w:delText>-</w:delText>
        </w:r>
      </w:del>
      <w:r>
        <w:rPr>
          <w:rFonts w:hint="eastAsia" w:ascii="宋体" w:hAnsi="宋体" w:cs="宋体"/>
          <w:sz w:val="24"/>
          <w:lang w:val="en-US" w:eastAsia="zh-CN"/>
        </w:rPr>
        <w:t>4月1日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ascii="宋体" w:hAnsi="宋体" w:eastAsia="宋体" w:cs="宋体"/>
          <w:b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</w:rPr>
        <w:t>三、竞赛目的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ascii="宋体" w:hAnsi="宋体" w:eastAsia="宋体" w:cs="宋体"/>
          <w:b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通过竞赛，提升学生金融领域的专业技能，包括金融科技应用、数据分析、风险管理等，增强实际操作能力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鼓励参赛者运用人工智能、区块链、大数据等新兴技术解决金融问题，推动金融行业的数字化转型与创新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模拟真实金融场景，推动职业教育与金融行业的紧密结合，促进产教融合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确保教育内容与行业需求同步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注重</w:t>
      </w:r>
      <w:ins w:id="17" w:author="孙铄橼" w:date="2025-02-27T11:18:27Z">
        <w:r>
          <w:rPr>
            <w:rFonts w:hint="eastAsia" w:ascii="宋体" w:hAnsi="宋体" w:eastAsia="宋体" w:cs="宋体"/>
            <w:bCs/>
            <w:snapToGrid/>
            <w:color w:val="auto"/>
            <w:sz w:val="24"/>
            <w:szCs w:val="24"/>
            <w:lang w:eastAsia="zh-CN"/>
          </w:rPr>
          <w:t>理论与实践相结合</w:t>
        </w:r>
      </w:ins>
      <w:del w:id="18" w:author="孙铄橼" w:date="2025-02-27T11:18:27Z">
        <w:r>
          <w:rPr>
            <w:rFonts w:hint="eastAsia" w:ascii="宋体" w:hAnsi="宋体" w:eastAsia="宋体" w:cs="宋体"/>
            <w:bCs/>
            <w:snapToGrid/>
            <w:color w:val="auto"/>
            <w:sz w:val="24"/>
            <w:szCs w:val="24"/>
          </w:rPr>
          <w:delText>理论与实践结合</w:delText>
        </w:r>
      </w:del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，培养具备金融知识和技术能力的复合型人才，满足行业对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val="en-US" w:eastAsia="zh-CN"/>
        </w:rPr>
        <w:t>高技能金融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人才的需求。以团队形式参赛，培养学生的协作能力、沟通能力以及解决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val="en-US" w:eastAsia="zh-CN"/>
        </w:rPr>
        <w:t>实际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问题的能力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积累实践经验，提升学生就业竞争力，为职业发展奠定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val="en-US" w:eastAsia="zh-CN"/>
        </w:rPr>
        <w:t>扎实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基础。竞赛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val="en-US" w:eastAsia="zh-CN"/>
        </w:rPr>
        <w:t>也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为职业院校展示教育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val="en-US" w:eastAsia="zh-CN"/>
        </w:rPr>
        <w:t>教学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成果提供平台，提升职业教育的社会认可度和影响力。</w:t>
      </w:r>
    </w:p>
    <w:p>
      <w:pPr>
        <w:pStyle w:val="3"/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360" w:lineRule="auto"/>
        <w:ind w:firstLine="420" w:firstLineChars="0"/>
        <w:jc w:val="both"/>
        <w:textAlignment w:val="auto"/>
        <w:rPr>
          <w:rFonts w:hint="eastAsia" w:ascii="宋体" w:hAnsi="宋体" w:eastAsia="宋体" w:cs="宋体"/>
          <w:b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</w:rPr>
        <w:t>竞赛内容</w:t>
      </w:r>
    </w:p>
    <w:p>
      <w:pPr>
        <w:pStyle w:val="3"/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参赛队伍根据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赛项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组别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，结合专业要求，围绕生产、管理、 服务一线岗位实际需求和实践要求，遵循“突出能力导向、解决实际问题、体现创新因素、确保公平可比”的原则，立足技能创新，自主确定参赛项目名称、自主设计参赛项目内容、自主选择参赛设备。竞赛内容包含技术技能操作实施和现场展示讲解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ascii="宋体" w:hAnsi="宋体" w:eastAsia="宋体" w:cs="宋体"/>
          <w:b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</w:rPr>
        <w:t>五、竞赛方式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default" w:ascii="宋体" w:hAnsi="宋体" w:eastAsia="宋体" w:cs="宋体"/>
          <w:b/>
          <w:bCs w:val="0"/>
          <w:snapToGrid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  <w:lang w:val="en-US" w:eastAsia="zh-CN"/>
        </w:rPr>
        <w:t>竞赛形式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参赛队伍依据项目任务，按团队成员分工进行比赛。技术技能操作实施应重点呈现选手的技能熟练程度、规范程度以及应用能力。现场展示讲解应围绕赛项技能要点、技术难点解决、团队配合、创新要求等方面进行。比赛时长由各参赛队伍根据项目实际需要确定，总时长70分钟，其中，技术技能操作实施不少于60分钟，现场展示讲解不超过10分钟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采用线下比赛，由承办校和赛项专家组按照竞赛流程，组织各领队参加公开抽签，确定各参赛队场次。参赛队按照抽签确定的参赛时段，分批次进入比赛场地参赛。赛场的赛位统一编制赛位号，参赛队比赛前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分钟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val="en-US" w:eastAsia="zh-CN"/>
        </w:rPr>
        <w:t>到达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赛项指定地点接受检录，进场前30分钟抽签决定赛位号，在对应赛位上完成竞赛。赛位号不对外公布，抽签结束密封后统一保管，在全部选手比赛完成评分结束后解密统计成绩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eastAsia="zh-CN"/>
        </w:rPr>
        <w:t>，经复核无误，由裁判长、监督仲裁人员签字确认后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val="en-US" w:eastAsia="zh-CN"/>
        </w:rPr>
        <w:t>公布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 w:val="0"/>
          <w:snapToGrid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  <w:lang w:val="en-US" w:eastAsia="zh-CN"/>
        </w:rPr>
        <w:t>组队方式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本赛项为团体赛，</w:t>
      </w:r>
      <w:r>
        <w:rPr>
          <w:rFonts w:hint="eastAsia" w:ascii="宋体" w:hAnsi="宋体" w:cs="宋体"/>
          <w:sz w:val="24"/>
          <w:lang w:val="en-US" w:eastAsia="zh-CN"/>
        </w:rPr>
        <w:t>同一学校参赛队不超过2队，每组队员不超过4人，专业不限，不得跨校组队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  <w:lang w:val="en-US" w:eastAsia="zh-CN"/>
        </w:rPr>
        <w:t>参赛选手须为我省高职院校（含本科层次职业学校）全日制在籍学生及3年内毕业生（毕业生须为企业职工，以报名时间为准，2025届应届毕业生不受此限），五年制职业教育（中高职一体化培养）学生报名参赛的，须是进入高等教育阶段（四、五年级）在籍学生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参赛</w:t>
      </w:r>
      <w:r>
        <w:rPr>
          <w:rFonts w:hint="eastAsia" w:ascii="宋体" w:hAnsi="宋体" w:cs="宋体"/>
          <w:sz w:val="24"/>
          <w:lang w:val="en-US" w:eastAsia="zh-CN"/>
        </w:rPr>
        <w:t>学校</w:t>
      </w:r>
      <w:r>
        <w:rPr>
          <w:rFonts w:hint="eastAsia" w:ascii="宋体" w:hAnsi="宋体" w:cs="宋体"/>
          <w:sz w:val="24"/>
        </w:rPr>
        <w:t>指定领队1名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全权负责参赛事务的组织、协调和管理工作，</w:t>
      </w:r>
      <w:r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  <w:t>每队不超过2名指导教师</w:t>
      </w:r>
      <w:r>
        <w:rPr>
          <w:rFonts w:hint="eastAsia" w:ascii="宋体" w:hAnsi="宋体" w:cs="宋体"/>
          <w:sz w:val="24"/>
        </w:rPr>
        <w:t>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</w:rPr>
        <w:t>评审标准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围绕“技能水平、职业素养、应用价值、团队合作、创新创意”等五个方面，按权重对参赛队伍作整体评价</w:t>
      </w:r>
      <w:r>
        <w:rPr>
          <w:rFonts w:hint="eastAsia" w:ascii="宋体" w:hAnsi="宋体" w:cs="宋体"/>
          <w:sz w:val="24"/>
          <w:lang w:eastAsia="zh-CN"/>
        </w:rPr>
        <w:t>。评分裁判人数不少于5人，</w:t>
      </w:r>
      <w:r>
        <w:rPr>
          <w:rFonts w:hint="eastAsia" w:ascii="宋体" w:hAnsi="宋体" w:cs="宋体"/>
          <w:sz w:val="24"/>
          <w:lang w:val="en-US" w:eastAsia="zh-CN"/>
        </w:rPr>
        <w:t>每位裁判满分100分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val="en-US" w:eastAsia="zh-CN"/>
        </w:rPr>
        <w:t>具体评审标准见表1。</w:t>
      </w:r>
    </w:p>
    <w:p>
      <w:pPr>
        <w:spacing w:line="360" w:lineRule="auto"/>
        <w:jc w:val="center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表1：智慧金融组评审标准</w:t>
      </w:r>
    </w:p>
    <w:tbl>
      <w:tblPr>
        <w:tblStyle w:val="18"/>
        <w:tblpPr w:leftFromText="180" w:rightFromText="180" w:vertAnchor="text" w:horzAnchor="page" w:tblpXSpec="center" w:tblpY="62"/>
        <w:tblOverlap w:val="never"/>
        <w:tblW w:w="503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3261"/>
        <w:gridCol w:w="1201"/>
        <w:gridCol w:w="26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41" w:type="pc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kern w:val="0"/>
                <w:sz w:val="21"/>
                <w:szCs w:val="21"/>
                <w14:ligatures w14:val="none"/>
              </w:rPr>
              <w:t>赛道</w:t>
            </w:r>
          </w:p>
        </w:tc>
        <w:tc>
          <w:tcPr>
            <w:tcW w:w="1949" w:type="pc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1"/>
                <w:szCs w:val="21"/>
                <w14:ligatures w14:val="none"/>
              </w:rPr>
              <w:t>财经商贸赛道二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kern w:val="0"/>
                <w:sz w:val="21"/>
                <w:szCs w:val="21"/>
                <w14:ligatures w14:val="none"/>
              </w:rPr>
              <w:t>组别</w:t>
            </w:r>
          </w:p>
        </w:tc>
        <w:tc>
          <w:tcPr>
            <w:tcW w:w="1590" w:type="pc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pacing w:val="1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1"/>
                <w:szCs w:val="21"/>
                <w:lang w:val="en-US" w:eastAsia="zh-CN"/>
                <w14:ligatures w14:val="none"/>
              </w:rPr>
              <w:t>智慧金融组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41" w:type="pct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kern w:val="0"/>
                <w:sz w:val="21"/>
                <w:szCs w:val="21"/>
                <w14:ligatures w14:val="none"/>
              </w:rPr>
              <w:t>一级指标</w:t>
            </w:r>
          </w:p>
        </w:tc>
        <w:tc>
          <w:tcPr>
            <w:tcW w:w="4258" w:type="pct"/>
            <w:gridSpan w:val="3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kern w:val="0"/>
                <w:sz w:val="21"/>
                <w:szCs w:val="21"/>
                <w14:ligatures w14:val="none"/>
              </w:rPr>
              <w:t>二级指标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741" w:type="pct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5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kern w:val="0"/>
                <w:sz w:val="21"/>
                <w:szCs w:val="21"/>
                <w14:ligatures w14:val="none"/>
              </w:rPr>
              <w:t>技能水平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kern w:val="0"/>
                <w:sz w:val="21"/>
                <w:szCs w:val="21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84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kern w:val="0"/>
                <w:sz w:val="21"/>
                <w:szCs w:val="21"/>
                <w14:ligatures w14:val="none"/>
              </w:rPr>
              <w:t>60%）</w:t>
            </w:r>
          </w:p>
        </w:tc>
        <w:tc>
          <w:tcPr>
            <w:tcW w:w="4258" w:type="pct"/>
            <w:gridSpan w:val="3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14:ligatures w14:val="none"/>
              </w:rPr>
              <w:t>1.熟练掌握本专业或工作岗位的技能。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14:ligatures w14:val="none"/>
              </w:rPr>
              <w:t>2.技能操作规范，符合行业和岗位标准。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hanging="2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6"/>
                <w:kern w:val="0"/>
                <w:sz w:val="21"/>
                <w:szCs w:val="21"/>
                <w14:ligatures w14:val="none"/>
              </w:rPr>
              <w:t>3.具备较高的技能操作水平及解决复杂问题</w:t>
            </w:r>
            <w:r>
              <w:rPr>
                <w:rFonts w:hint="eastAsia" w:ascii="宋体" w:hAnsi="宋体" w:eastAsia="宋体" w:cs="宋体"/>
                <w:spacing w:val="-5"/>
                <w:kern w:val="0"/>
                <w:sz w:val="21"/>
                <w:szCs w:val="21"/>
                <w14:ligatures w14:val="none"/>
              </w:rPr>
              <w:t>的综合能力。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741" w:type="pct"/>
            <w:shd w:val="clear" w:color="auto" w:fill="auto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2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0"/>
                <w:sz w:val="21"/>
                <w:szCs w:val="21"/>
                <w14:ligatures w14:val="none"/>
              </w:rPr>
              <w:t>职业素养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kern w:val="0"/>
                <w:sz w:val="21"/>
                <w:szCs w:val="21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79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kern w:val="0"/>
                <w:sz w:val="21"/>
                <w:szCs w:val="21"/>
                <w14:ligatures w14:val="none"/>
              </w:rPr>
              <w:t>10%）</w:t>
            </w:r>
          </w:p>
        </w:tc>
        <w:tc>
          <w:tcPr>
            <w:tcW w:w="4258" w:type="pct"/>
            <w:gridSpan w:val="3"/>
            <w:shd w:val="clear" w:color="auto" w:fill="auto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1.展现较好的职业伦理，</w:t>
            </w:r>
            <w:r>
              <w:rPr>
                <w:rFonts w:hint="eastAsia" w:ascii="宋体" w:hAnsi="宋体" w:eastAsia="宋体" w:cs="宋体"/>
                <w:spacing w:val="-76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具有工匠精神。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>2.展现学校对学生全面培养、基本素养培育和</w:t>
            </w:r>
            <w:r>
              <w:rPr>
                <w:rFonts w:hint="eastAsia" w:ascii="宋体" w:hAnsi="宋体" w:eastAsia="宋体" w:cs="宋体"/>
                <w:spacing w:val="5"/>
                <w:kern w:val="0"/>
                <w:sz w:val="21"/>
                <w:szCs w:val="21"/>
                <w14:ligatures w14:val="none"/>
              </w:rPr>
              <w:t>成长发展的成效。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>3.展现职业教育育人成果，体现产教融合、科</w:t>
            </w:r>
            <w:r>
              <w:rPr>
                <w:rFonts w:hint="eastAsia" w:ascii="宋体" w:hAnsi="宋体" w:eastAsia="宋体" w:cs="宋体"/>
                <w:spacing w:val="-9"/>
                <w:kern w:val="0"/>
                <w:sz w:val="21"/>
                <w:szCs w:val="21"/>
                <w14:ligatures w14:val="none"/>
              </w:rPr>
              <w:t>教融汇。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7"/>
                <w:kern w:val="0"/>
                <w:sz w:val="21"/>
                <w:szCs w:val="21"/>
                <w14:ligatures w14:val="none"/>
              </w:rPr>
              <w:t>4.具备良好的职业道德、职业精神、职业素养。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41" w:type="pct"/>
            <w:shd w:val="clear" w:color="auto" w:fill="auto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kern w:val="0"/>
                <w:sz w:val="21"/>
                <w:szCs w:val="21"/>
                <w14:ligatures w14:val="none"/>
              </w:rPr>
              <w:t>应用价值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kern w:val="0"/>
                <w:sz w:val="21"/>
                <w:szCs w:val="21"/>
                <w14:ligatures w14:val="none"/>
              </w:rPr>
              <w:t>（10%）</w:t>
            </w:r>
          </w:p>
        </w:tc>
        <w:tc>
          <w:tcPr>
            <w:tcW w:w="4258" w:type="pct"/>
            <w:gridSpan w:val="3"/>
            <w:shd w:val="clear" w:color="auto" w:fill="auto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4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  <w14:ligatures w14:val="none"/>
              </w:rPr>
              <w:t>1.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 xml:space="preserve">有助于解决生产一线实际问题或现实困难。 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4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>2.能够促进职业学校学生高质量就业，包括直接间接推动扩大就业规模等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:lang w:eastAsia="zh-CN"/>
                <w14:ligatures w14:val="none"/>
              </w:rPr>
              <w:t>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>3.对推动产业转型升级、区域经济发展、乡村振兴、城市社区治理、城乡融合发展等具有积极作用。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>4.符合绿色低碳节能的可持续发展理念，有利于改善人民生活、提升人民生活质量。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741" w:type="pct"/>
            <w:shd w:val="clear" w:color="auto" w:fill="auto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kern w:val="0"/>
                <w:sz w:val="21"/>
                <w:szCs w:val="21"/>
                <w14:ligatures w14:val="none"/>
              </w:rPr>
              <w:t>团队合作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kern w:val="0"/>
                <w:sz w:val="21"/>
                <w:szCs w:val="21"/>
                <w14:ligatures w14:val="none"/>
              </w:rPr>
              <w:t>（10%）</w:t>
            </w:r>
          </w:p>
        </w:tc>
        <w:tc>
          <w:tcPr>
            <w:tcW w:w="4258" w:type="pct"/>
            <w:gridSpan w:val="3"/>
            <w:shd w:val="clear" w:color="auto" w:fill="auto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>1.团队成员能够准确理解共同目标和任务，清楚自己的角色定位和职责。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>2.团队成员在比赛中能够有效沟通、紧密协作。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>3.团队成员能够相互补台，共同应对突发情况。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>4.团队成员相互尊重、信任和支持，拥有良好的团队氛围。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741" w:type="pct"/>
            <w:shd w:val="clear" w:color="auto" w:fill="auto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kern w:val="0"/>
                <w:sz w:val="21"/>
                <w:szCs w:val="21"/>
                <w14:ligatures w14:val="none"/>
              </w:rPr>
              <w:t>创新创意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kern w:val="0"/>
                <w:sz w:val="21"/>
                <w:szCs w:val="21"/>
                <w14:ligatures w14:val="none"/>
              </w:rPr>
              <w:t>（10%）</w:t>
            </w:r>
          </w:p>
        </w:tc>
        <w:tc>
          <w:tcPr>
            <w:tcW w:w="4258" w:type="pct"/>
            <w:gridSpan w:val="3"/>
            <w:shd w:val="clear" w:color="auto" w:fill="auto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>1.体现原始创意、创新。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>2.体现面向职业和岗位的创意及创新，侧重于产品（技术）数字化改良、应用性优化、实用技术创新、民生类创意等。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4"/>
              <w:jc w:val="left"/>
              <w:textAlignment w:val="baseline"/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3"/>
                <w:kern w:val="0"/>
                <w:sz w:val="21"/>
                <w:szCs w:val="21"/>
                <w14:ligatures w14:val="none"/>
              </w:rPr>
              <w:t>3.体现团队成员创新精神和创新能力。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20"/>
        <w:jc w:val="both"/>
        <w:textAlignment w:val="auto"/>
        <w:rPr>
          <w:rFonts w:hint="eastAsia" w:ascii="宋体" w:hAnsi="宋体" w:eastAsia="宋体" w:cs="宋体"/>
          <w:b/>
          <w:snapToGrid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  <w:lang w:val="en-US" w:eastAsia="zh-CN"/>
        </w:rPr>
        <w:t>七、奖项设置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本赛项为</w:t>
      </w:r>
      <w:r>
        <w:rPr>
          <w:rFonts w:hint="eastAsia" w:ascii="宋体" w:hAnsi="宋体" w:cs="宋体"/>
          <w:sz w:val="24"/>
          <w:lang w:val="en-US" w:eastAsia="zh-CN"/>
        </w:rPr>
        <w:t>学生</w:t>
      </w:r>
      <w:r>
        <w:rPr>
          <w:rFonts w:hint="eastAsia" w:ascii="宋体" w:hAnsi="宋体" w:cs="宋体"/>
          <w:sz w:val="24"/>
        </w:rPr>
        <w:t>团体赛，</w:t>
      </w:r>
      <w:r>
        <w:rPr>
          <w:rFonts w:hint="eastAsia" w:ascii="宋体" w:hAnsi="宋体" w:cs="宋体"/>
          <w:sz w:val="24"/>
          <w:lang w:val="en-US" w:eastAsia="zh-CN"/>
        </w:rPr>
        <w:t>设金奖、银奖、铜奖，获奖比例分别为实际参赛队伍数量的10%、15%、25%（分别按四舍五入取整数）。各赛项成绩作为推荐参加2025年世界职业院校技能大赛的重要依据。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snapToGrid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  <w:lang w:val="en-US" w:eastAsia="zh-CN"/>
        </w:rPr>
        <w:t>设备场地条件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赛场为学校标准化教室。每个赛场配备4台比赛用台式电脑（型号：惠普280Pro，处理器：英特尔i5-11500，内存容量：8G，硬盘：256G SSD+1TBHDD，系统：Windows10专业版64位，屏幕尺寸：21.5，集成显卡）、鼠标（HP TPA-P001M）和键盘（HP TPA-L001K），4台电脑分别连接4台分屏显示器（55寸）供选手和裁判观看；配备1台86寸触摸一体机（品牌：希沃/MAXHUB）、翻页笔1支、电源插线板2个；安装常用浏览器（IE，360，Chrome）、办公软件（OFFICE，WPS）和字符录入输入法(微软拼音、QQ拼音、搜狗拼音、搜狗五笔、王码五笔)；另根据参赛队软件使用需要和申请，协助实现本地化安装。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lang w:val="en-US" w:eastAsia="zh-CN"/>
        </w:rPr>
        <w:t>参赛队伍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根据承办校要求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在赛前确定设备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和软件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选用，同时向承办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校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提交自备设备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和软件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清单及其使用条件需求，经承办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校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确认后签订确认书。参赛队伍凭双方签章的确认书，自带设备方可进入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比赛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现场。</w:t>
      </w:r>
    </w:p>
    <w:p>
      <w:pPr>
        <w:rPr>
          <w:rFonts w:hint="eastAsia" w:ascii="宋体" w:hAnsi="宋体" w:eastAsia="宋体" w:cs="宋体"/>
          <w:b/>
          <w:snapToGrid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snapToGrid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napToGrid/>
          <w:color w:val="auto"/>
          <w:sz w:val="24"/>
          <w:szCs w:val="24"/>
          <w:lang w:val="en-US" w:eastAsia="zh-CN"/>
        </w:rPr>
        <w:t>九、竞赛日程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本次大赛安排报到时间1天，比赛时间为2天（视报名参赛队数调整）。比赛次序按各参赛队现场抽签顺序决定。日程具体安排见表2。</w:t>
      </w:r>
    </w:p>
    <w:p>
      <w:pPr>
        <w:spacing w:line="360" w:lineRule="auto"/>
        <w:jc w:val="center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表2：竞赛日程具体安排</w:t>
      </w:r>
    </w:p>
    <w:tbl>
      <w:tblPr>
        <w:tblStyle w:val="18"/>
        <w:tblW w:w="7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695"/>
        <w:gridCol w:w="2151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  <w:t>日期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  <w:t>时间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  <w:t>内容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第1天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报到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 w:bidi="ar"/>
                <w14:ligatures w14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领取竞赛资料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提供身份证（原件、复印件1份）、学生证（原件、复印件加盖学校公章1份）、自备设备清单原件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领队会议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竞赛时段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抽签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</w:t>
            </w:r>
          </w:p>
        </w:tc>
        <w:tc>
          <w:tcPr>
            <w:tcW w:w="21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  <w:t>设备调试与封存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分批次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0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第2天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第3天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0-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上午组加密抽签</w:t>
            </w:r>
          </w:p>
        </w:tc>
        <w:tc>
          <w:tcPr>
            <w:tcW w:w="297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具体时间安排根据参赛队伍数量调整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0-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11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</w:t>
            </w:r>
          </w:p>
        </w:tc>
        <w:tc>
          <w:tcPr>
            <w:tcW w:w="21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比赛</w:t>
            </w:r>
          </w:p>
        </w:tc>
        <w:tc>
          <w:tcPr>
            <w:tcW w:w="29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11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0-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12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</w:t>
            </w:r>
          </w:p>
        </w:tc>
        <w:tc>
          <w:tcPr>
            <w:tcW w:w="21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下午组加密抽签</w:t>
            </w:r>
          </w:p>
        </w:tc>
        <w:tc>
          <w:tcPr>
            <w:tcW w:w="29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0-1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比赛</w:t>
            </w:r>
          </w:p>
        </w:tc>
        <w:tc>
          <w:tcPr>
            <w:tcW w:w="29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17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0-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17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晚上组加密抽签</w:t>
            </w:r>
          </w:p>
        </w:tc>
        <w:tc>
          <w:tcPr>
            <w:tcW w:w="29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0-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20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  <w:t>0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  <w14:ligatures w14:val="none"/>
              </w:rPr>
              <w:t>比赛</w:t>
            </w:r>
          </w:p>
        </w:tc>
        <w:tc>
          <w:tcPr>
            <w:tcW w:w="29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  <w14:ligatures w14:val="none"/>
              </w:rPr>
            </w:pPr>
          </w:p>
        </w:tc>
      </w:tr>
    </w:tbl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</w:rPr>
        <w:t>十、赛项安全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（一）比赛环境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在赛前组织专人对比赛现场和交通保障进行考察，并对安全工作提出明确要求。赛场的布置，赛场内的器材、设备，符合国家有关安全规定。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赛场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模拟测试，发现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和解决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可能出现的问题。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赛场周围设立警戒线，防止无关人员进入发生意外事件。比赛现场内参照相关职业岗位要求为选手提供必要劳动保护。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参赛选手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赛事裁判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工作人员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进入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赛场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严禁携带通讯、照相摄录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设备用具。如确有需要，由赛场统一管理。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）参赛队责任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1.各学校组织参赛队时，须为参赛选手、领队、指导教师等人员购买大赛期间的人身意外伤害保险。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2.各学校参赛队组成后，须对所有选手、指导教师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进行安全教育。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3.各参赛队伍须加强对参与比赛人员的安全管理，实现与赛场安全管理的对接。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）应急处理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比赛期间发生意外事故，发现者应第一时间报告赛项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组委会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，同时采取措施避免事态扩大。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</w:rPr>
        <w:t>十</w:t>
      </w: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</w:rPr>
        <w:t>、竞赛须知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（一）参赛队须知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1.参赛队名称统一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命名为学校名-1队、学校名-2队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2.参赛队员在报名获得审核确认后，原则上不再更换，如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备赛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过程中，选手因故不能参赛，所在学校需出具书面说明并按相关规定补充人员并接受审核；竞赛开始后，参赛队不得更换参赛队员（允许缺员比赛）。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3.参赛队按照赛程安排凭大赛组委会颁发的参赛证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有效身份证件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学生证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参加比赛及相关活动。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4.各参赛队准时参加赛前领队会，领队会上抽签抽取场次号。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.各参赛队要发扬良好道德风尚，听从指挥，服从裁判，不弄虚作假。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.指导老师经报名审核后确定，一经确定不得更换。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）参赛选手须知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1.参赛选手应遵守比赛规则，尊重裁判和赛场工作人员，自觉遵守赛场秩序，服从裁判的管理。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2.参赛选手应佩戴参赛证，带齐身份证、注册的学生证。在赛场的着装，应符合职业要求。在赛场的表现，应体现良好的职业习惯和职业素养。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3.进入赛场前须将手机等通讯工具交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相关工作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人员保管，不能带入赛场。未经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报备确认的设备用具等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一律不能进入赛场。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4.比赛过程中不得大声喧哗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不得有影响其他选手比赛的行为。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.如对裁判员执裁有异议，可在2小时内由领队向赛项仲裁组以书面形式提出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申诉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）工作人员须知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1.工作人员必须服从赛项组委会统一指挥，佩戴工作人员标识，认真履行职责，做好服务赛场、服务选手的工作。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2.工作人员按照分工准时上岗，不得擅自离岗，应认真履行各自的工作职责，保证竞赛工作的顺利进行。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3.工作人员应在规定的区域内工作，未经许可，不得擅自进入赛场。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4.如遇突发事件，须及时报告，同时做好疏导工作，确保竞赛圆满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完成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）裁判员须知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裁判员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执裁前应参加培训，认真学习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标准，理解评分表各评价内容和标准。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2.裁判员执裁期间，统一佩戴裁判员标识，举止文明礼貌，接受参赛人员监督。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3.遵守执裁纪律，履行裁判职责，执行竞赛规则，按照分工开展工作，始终坚守工作岗位。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4.裁判员有维护赛场秩序、执行赛场纪律的责任，公平公正对待每一位参赛选手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eastAsia="zh-CN"/>
        </w:rPr>
        <w:t>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5.裁判员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不得有任何影响参赛选手比赛的行为，不得向参赛选手暗示或解答与竞赛有关的问题，不得指导、帮助选手完成比赛任务。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.严格执行竞赛项目评分标准，做到公平、公正、真实、准确，对评分表的理解和宽严尺度把握有分歧时，请示裁判长解决。严禁利用工作之便，弄虚作假、徇私舞弊。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.竞赛期间，因裁判人员工作不负责任，造成竞赛程序无法继续进行或评判结果不真实的情况，由赛项组委会视情节轻重，给予通报批评或停止裁判资格。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  <w:lang w:val="en-US" w:eastAsia="zh-CN"/>
        </w:rPr>
        <w:t>十二、</w:t>
      </w: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</w:rPr>
        <w:t>申诉与仲裁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（一）申诉主体为参赛队领队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提出申诉应在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选手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比赛结束后2小时内提出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超过2小时不予受理。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）申诉启动时，参赛队以领队签字同意的书面报告形式递交仲裁组。报告应对申诉事件的现象、发生时间、涉及人员、申诉依据等进行充分、实事求是</w:t>
      </w:r>
      <w:ins w:id="19" w:author="孙铄橼" w:date="2025-02-27T11:19:07Z">
        <w:r>
          <w:rPr>
            <w:rFonts w:hint="eastAsia" w:ascii="宋体" w:hAnsi="宋体" w:eastAsia="宋体" w:cs="宋体"/>
            <w:b w:val="0"/>
            <w:bCs/>
            <w:snapToGrid/>
            <w:color w:val="auto"/>
            <w:sz w:val="24"/>
            <w:szCs w:val="24"/>
            <w:lang w:eastAsia="zh-CN"/>
          </w:rPr>
          <w:t>地</w:t>
        </w:r>
      </w:ins>
      <w:del w:id="20" w:author="孙铄橼" w:date="2025-02-27T11:19:07Z">
        <w:r>
          <w:rPr>
            <w:rFonts w:hint="eastAsia" w:ascii="宋体" w:hAnsi="宋体" w:eastAsia="宋体" w:cs="宋体"/>
            <w:b w:val="0"/>
            <w:bCs/>
            <w:snapToGrid/>
            <w:color w:val="auto"/>
            <w:sz w:val="24"/>
            <w:szCs w:val="24"/>
          </w:rPr>
          <w:delText>的</w:delText>
        </w:r>
      </w:del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叙述。非书面申诉不予受理。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）仲裁组在接到申诉报告后的2小时内组织复议，并及时将复议结果以书面形式告知申诉方。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</w:rPr>
        <w:t>十</w:t>
      </w: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snapToGrid/>
          <w:color w:val="auto"/>
          <w:sz w:val="24"/>
          <w:szCs w:val="24"/>
        </w:rPr>
        <w:t>、其他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本次比赛不收取报名费用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参赛费用，参赛学校人员食宿自理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本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  <w:lang w:val="en-US" w:eastAsia="zh-CN"/>
        </w:rPr>
        <w:t>赛项规程</w:t>
      </w:r>
      <w:r>
        <w:rPr>
          <w:rFonts w:hint="eastAsia" w:ascii="宋体" w:hAnsi="宋体" w:eastAsia="宋体" w:cs="宋体"/>
          <w:b w:val="0"/>
          <w:bCs/>
          <w:snapToGrid/>
          <w:color w:val="auto"/>
          <w:sz w:val="24"/>
          <w:szCs w:val="24"/>
        </w:rPr>
        <w:t>的最终解释权归大赛组委会。</w:t>
      </w:r>
    </w:p>
    <w:p>
      <w:pPr>
        <w:pStyle w:val="3"/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</w:rPr>
      <w:id w:val="-1547376704"/>
      <w:docPartObj>
        <w:docPartGallery w:val="autotext"/>
      </w:docPartObj>
    </w:sdtPr>
    <w:sdtEndPr>
      <w:rPr>
        <w:rStyle w:val="11"/>
      </w:rPr>
    </w:sdtEndPr>
    <w:sdtContent>
      <w:p>
        <w:pPr>
          <w:pStyle w:val="5"/>
          <w:framePr w:wrap="auto" w:vAnchor="text" w:hAnchor="margin" w:xAlign="center" w:y="1"/>
          <w:rPr>
            <w:rStyle w:val="11"/>
          </w:rPr>
        </w:pPr>
        <w:r>
          <w:rPr>
            <w:rStyle w:val="11"/>
          </w:rPr>
          <w:fldChar w:fldCharType="begin"/>
        </w:r>
        <w:r>
          <w:rPr>
            <w:rStyle w:val="11"/>
          </w:rPr>
          <w:instrText xml:space="preserve"> PAGE </w:instrText>
        </w:r>
        <w:r>
          <w:rPr>
            <w:rStyle w:val="11"/>
          </w:rPr>
          <w:fldChar w:fldCharType="separate"/>
        </w:r>
        <w:r>
          <w:rPr>
            <w:rStyle w:val="11"/>
          </w:rPr>
          <w:t>14</w:t>
        </w:r>
        <w:r>
          <w:rPr>
            <w:rStyle w:val="11"/>
          </w:rPr>
          <w:fldChar w:fldCharType="end"/>
        </w:r>
      </w:p>
    </w:sdtContent>
  </w:sdt>
  <w:p>
    <w:pPr>
      <w:spacing w:line="187" w:lineRule="auto"/>
      <w:ind w:left="4385" w:right="360"/>
      <w:rPr>
        <w:rFonts w:ascii="仿宋" w:hAnsi="仿宋" w:eastAsia="仿宋" w:cs="仿宋"/>
        <w:sz w:val="17"/>
        <w:szCs w:val="17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铄橼">
    <w15:presenceInfo w15:providerId="WPS Office" w15:userId="5466891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MjFlOWZjZDJmYzA3MWRkZTk3YzFmMjdmMjM4NGIifQ=="/>
    <w:docVar w:name="KSO_WPS_MARK_KEY" w:val="4a4c75b3-3bd2-4eb0-8c1f-a171d3b929dc"/>
  </w:docVars>
  <w:rsids>
    <w:rsidRoot w:val="00F03A74"/>
    <w:rsid w:val="00032968"/>
    <w:rsid w:val="00053DC8"/>
    <w:rsid w:val="0009263C"/>
    <w:rsid w:val="000B2C55"/>
    <w:rsid w:val="000C5F52"/>
    <w:rsid w:val="000D2E57"/>
    <w:rsid w:val="000D6EAA"/>
    <w:rsid w:val="001154B5"/>
    <w:rsid w:val="00123A0F"/>
    <w:rsid w:val="00142533"/>
    <w:rsid w:val="001757FD"/>
    <w:rsid w:val="001A0E9B"/>
    <w:rsid w:val="001B3DFC"/>
    <w:rsid w:val="001E7D62"/>
    <w:rsid w:val="001F0C93"/>
    <w:rsid w:val="001F22A9"/>
    <w:rsid w:val="002526F2"/>
    <w:rsid w:val="00335654"/>
    <w:rsid w:val="00381841"/>
    <w:rsid w:val="004344E3"/>
    <w:rsid w:val="0047312F"/>
    <w:rsid w:val="005253D5"/>
    <w:rsid w:val="005423E0"/>
    <w:rsid w:val="00550C16"/>
    <w:rsid w:val="00554A09"/>
    <w:rsid w:val="005D4583"/>
    <w:rsid w:val="00651F09"/>
    <w:rsid w:val="006557C7"/>
    <w:rsid w:val="00661952"/>
    <w:rsid w:val="0067091E"/>
    <w:rsid w:val="006B4B07"/>
    <w:rsid w:val="006E6BCB"/>
    <w:rsid w:val="00725C4D"/>
    <w:rsid w:val="007B0B48"/>
    <w:rsid w:val="008E3A2A"/>
    <w:rsid w:val="008E4D04"/>
    <w:rsid w:val="008F0D08"/>
    <w:rsid w:val="00915540"/>
    <w:rsid w:val="00954D00"/>
    <w:rsid w:val="00990FCC"/>
    <w:rsid w:val="00992260"/>
    <w:rsid w:val="009C18B1"/>
    <w:rsid w:val="009D111B"/>
    <w:rsid w:val="009F3672"/>
    <w:rsid w:val="00A51567"/>
    <w:rsid w:val="00A539FB"/>
    <w:rsid w:val="00AB2520"/>
    <w:rsid w:val="00AF5997"/>
    <w:rsid w:val="00B9766A"/>
    <w:rsid w:val="00BF5498"/>
    <w:rsid w:val="00C052C9"/>
    <w:rsid w:val="00C121B2"/>
    <w:rsid w:val="00C66B60"/>
    <w:rsid w:val="00CD2512"/>
    <w:rsid w:val="00CD26A7"/>
    <w:rsid w:val="00CE097E"/>
    <w:rsid w:val="00CE56EA"/>
    <w:rsid w:val="00D10D38"/>
    <w:rsid w:val="00D15641"/>
    <w:rsid w:val="00E10D58"/>
    <w:rsid w:val="00E940D0"/>
    <w:rsid w:val="00E9471D"/>
    <w:rsid w:val="00F03A74"/>
    <w:rsid w:val="00F71AF0"/>
    <w:rsid w:val="00F87FFB"/>
    <w:rsid w:val="01260E98"/>
    <w:rsid w:val="01B20307"/>
    <w:rsid w:val="020F2B8A"/>
    <w:rsid w:val="02BD75DA"/>
    <w:rsid w:val="03BF5F98"/>
    <w:rsid w:val="05AA2338"/>
    <w:rsid w:val="08874912"/>
    <w:rsid w:val="0ABC55CE"/>
    <w:rsid w:val="0D3B5B02"/>
    <w:rsid w:val="0E411C85"/>
    <w:rsid w:val="0F8B5B9A"/>
    <w:rsid w:val="14105FA6"/>
    <w:rsid w:val="15D6026D"/>
    <w:rsid w:val="17505C21"/>
    <w:rsid w:val="17BD3EAD"/>
    <w:rsid w:val="18781EA2"/>
    <w:rsid w:val="1B1821BA"/>
    <w:rsid w:val="1C755C95"/>
    <w:rsid w:val="1CA31F20"/>
    <w:rsid w:val="1D161B87"/>
    <w:rsid w:val="1D267DC0"/>
    <w:rsid w:val="1F227087"/>
    <w:rsid w:val="1FB5781F"/>
    <w:rsid w:val="210668C5"/>
    <w:rsid w:val="21371B96"/>
    <w:rsid w:val="22450DA6"/>
    <w:rsid w:val="24D942F0"/>
    <w:rsid w:val="27BA2F9F"/>
    <w:rsid w:val="27E25EF8"/>
    <w:rsid w:val="2D2809DB"/>
    <w:rsid w:val="2D6F57F1"/>
    <w:rsid w:val="2F023A11"/>
    <w:rsid w:val="2F475C5D"/>
    <w:rsid w:val="307A793C"/>
    <w:rsid w:val="30DF5EF8"/>
    <w:rsid w:val="31513716"/>
    <w:rsid w:val="31645DEE"/>
    <w:rsid w:val="31E0010B"/>
    <w:rsid w:val="32250B75"/>
    <w:rsid w:val="333E5E4A"/>
    <w:rsid w:val="36A24542"/>
    <w:rsid w:val="36DB291D"/>
    <w:rsid w:val="37A0787F"/>
    <w:rsid w:val="37E63583"/>
    <w:rsid w:val="38722012"/>
    <w:rsid w:val="39623D65"/>
    <w:rsid w:val="39F552D0"/>
    <w:rsid w:val="3B6C511E"/>
    <w:rsid w:val="3BC17177"/>
    <w:rsid w:val="3C284096"/>
    <w:rsid w:val="3CDE029E"/>
    <w:rsid w:val="3DD12B04"/>
    <w:rsid w:val="43665EA0"/>
    <w:rsid w:val="44842D16"/>
    <w:rsid w:val="455921F1"/>
    <w:rsid w:val="46003033"/>
    <w:rsid w:val="479D2C00"/>
    <w:rsid w:val="484336AB"/>
    <w:rsid w:val="496076FB"/>
    <w:rsid w:val="4C3D59B1"/>
    <w:rsid w:val="4CD41F89"/>
    <w:rsid w:val="4D88299E"/>
    <w:rsid w:val="4E290050"/>
    <w:rsid w:val="4E3246A1"/>
    <w:rsid w:val="4EB816A0"/>
    <w:rsid w:val="503D12A3"/>
    <w:rsid w:val="504A0D51"/>
    <w:rsid w:val="514F13D6"/>
    <w:rsid w:val="54B902D0"/>
    <w:rsid w:val="54EE2F19"/>
    <w:rsid w:val="56ED195A"/>
    <w:rsid w:val="595A7F9F"/>
    <w:rsid w:val="59830A7D"/>
    <w:rsid w:val="5D557F58"/>
    <w:rsid w:val="5F8A7A45"/>
    <w:rsid w:val="602C2B90"/>
    <w:rsid w:val="607056C7"/>
    <w:rsid w:val="60EC092C"/>
    <w:rsid w:val="6117158F"/>
    <w:rsid w:val="61E34B03"/>
    <w:rsid w:val="63773608"/>
    <w:rsid w:val="68295FC1"/>
    <w:rsid w:val="68522CCC"/>
    <w:rsid w:val="696D63B7"/>
    <w:rsid w:val="6CB56076"/>
    <w:rsid w:val="6D2E712B"/>
    <w:rsid w:val="6D8678C0"/>
    <w:rsid w:val="6DCA05E1"/>
    <w:rsid w:val="6EFF46D8"/>
    <w:rsid w:val="6F102976"/>
    <w:rsid w:val="6FBB33FD"/>
    <w:rsid w:val="6FE3114C"/>
    <w:rsid w:val="731C5F6F"/>
    <w:rsid w:val="76BB23B7"/>
    <w:rsid w:val="77A13FE0"/>
    <w:rsid w:val="78B60ADD"/>
    <w:rsid w:val="7A174825"/>
    <w:rsid w:val="7AF70D8F"/>
    <w:rsid w:val="7B507F2C"/>
    <w:rsid w:val="7B523AC1"/>
    <w:rsid w:val="7BD952E2"/>
    <w:rsid w:val="7BFE5760"/>
    <w:rsid w:val="7C8A05F8"/>
    <w:rsid w:val="7E5352C4"/>
    <w:rsid w:val="FEFFF0DA"/>
    <w:rsid w:val="FFBEE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1"/>
    <w:pPr>
      <w:widowControl w:val="0"/>
      <w:kinsoku/>
      <w:adjustRightInd/>
      <w:snapToGrid/>
      <w:ind w:left="797"/>
      <w:textAlignment w:val="auto"/>
      <w:outlineLvl w:val="0"/>
    </w:pPr>
    <w:rPr>
      <w:rFonts w:ascii="Microsoft JhengHei" w:hAnsi="Microsoft JhengHei" w:eastAsia="Microsoft JhengHei" w:cs="Microsoft JhengHei"/>
      <w:b/>
      <w:bCs/>
      <w:snapToGrid/>
      <w:color w:val="auto"/>
      <w:sz w:val="28"/>
      <w:szCs w:val="28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3"/>
    <w:qFormat/>
    <w:uiPriority w:val="0"/>
    <w:pPr>
      <w:tabs>
        <w:tab w:val="center" w:pos="4680"/>
        <w:tab w:val="right" w:pos="9360"/>
      </w:tabs>
    </w:pPr>
  </w:style>
  <w:style w:type="paragraph" w:styleId="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table" w:customStyle="1" w:styleId="12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basedOn w:val="9"/>
    <w:link w:val="6"/>
    <w:qFormat/>
    <w:uiPriority w:val="0"/>
    <w:rPr>
      <w:rFonts w:ascii="Arial" w:hAnsi="Arial" w:cs="Arial"/>
      <w:snapToGrid w:val="0"/>
      <w:color w:val="000000"/>
      <w:sz w:val="21"/>
      <w:szCs w:val="21"/>
    </w:rPr>
  </w:style>
  <w:style w:type="character" w:customStyle="1" w:styleId="14">
    <w:name w:val="页脚 Char"/>
    <w:basedOn w:val="9"/>
    <w:link w:val="5"/>
    <w:qFormat/>
    <w:uiPriority w:val="0"/>
    <w:rPr>
      <w:rFonts w:ascii="Arial" w:hAnsi="Arial" w:cs="Arial"/>
      <w:snapToGrid w:val="0"/>
      <w:color w:val="000000"/>
      <w:sz w:val="21"/>
      <w:szCs w:val="21"/>
    </w:rPr>
  </w:style>
  <w:style w:type="character" w:customStyle="1" w:styleId="15">
    <w:name w:val="批注框文本 Char"/>
    <w:basedOn w:val="9"/>
    <w:link w:val="4"/>
    <w:qFormat/>
    <w:uiPriority w:val="0"/>
    <w:rPr>
      <w:rFonts w:ascii="Arial" w:hAnsi="Arial" w:cs="Arial"/>
      <w:snapToGrid w:val="0"/>
      <w:color w:val="000000"/>
      <w:sz w:val="18"/>
      <w:szCs w:val="18"/>
    </w:rPr>
  </w:style>
  <w:style w:type="character" w:customStyle="1" w:styleId="16">
    <w:name w:val="标题 1 Char"/>
    <w:basedOn w:val="9"/>
    <w:link w:val="2"/>
    <w:qFormat/>
    <w:uiPriority w:val="1"/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table" w:customStyle="1" w:styleId="1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1621</Words>
  <Characters>1662</Characters>
  <Lines>243</Lines>
  <Paragraphs>68</Paragraphs>
  <TotalTime>3</TotalTime>
  <ScaleCrop>false</ScaleCrop>
  <LinksUpToDate>false</LinksUpToDate>
  <CharactersWithSpaces>1667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2023-03-09T09:36:00Z</dcterms:created>
  <dc:creator>Administrator</dc:creator>
  <cp:lastModifiedBy>孙铄橼</cp:lastModifiedBy>
  <cp:lastPrinted>2023-03-15T07:27:00Z</cp:lastPrinted>
  <dcterms:modified xsi:type="dcterms:W3CDTF">2025-02-27T03:25:37Z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D28066CBAF6CE8AAC26B1064383B59E8_43</vt:lpwstr>
  </property>
  <property fmtid="{D5CDD505-2E9C-101B-9397-08002B2CF9AE}" pid="4" name="KSOTemplateDocerSaveRecord">
    <vt:lpwstr>eyJoZGlkIjoiYzI1MTRmYzQ4ODk0YzJkOGRlNGI1MmU5ZmY0YzA0NDIiLCJ1c2VySWQiOiIxMjA2MTg3ODgyIn0=</vt:lpwstr>
  </property>
</Properties>
</file>