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5C" w:rsidRDefault="00A97D52"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</w:p>
    <w:p w:rsidR="00EC4D5C" w:rsidRDefault="00A97D52">
      <w:pPr>
        <w:snapToGrid w:val="0"/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</w:t>
      </w: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 w:hint="eastAsia"/>
          <w:b/>
          <w:bCs/>
          <w:sz w:val="36"/>
          <w:szCs w:val="36"/>
        </w:rPr>
        <w:t>年浙江省职业院校技能大赛高职组</w:t>
      </w:r>
    </w:p>
    <w:p w:rsidR="00EC4D5C" w:rsidRDefault="00A97D52">
      <w:pPr>
        <w:snapToGrid w:val="0"/>
        <w:spacing w:line="58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“烹饪”</w:t>
      </w:r>
      <w:r w:rsidR="00924028">
        <w:rPr>
          <w:rFonts w:ascii="宋体" w:hAnsi="宋体" w:cs="宋体" w:hint="eastAsia"/>
          <w:b/>
          <w:bCs/>
          <w:sz w:val="36"/>
          <w:szCs w:val="36"/>
        </w:rPr>
        <w:t>赛项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评分标准</w:t>
      </w:r>
    </w:p>
    <w:p w:rsidR="00EC4D5C" w:rsidRDefault="00EC4D5C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:rsidR="00EC4D5C" w:rsidRDefault="00A97D52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</w:t>
      </w:r>
      <w:r>
        <w:rPr>
          <w:rFonts w:ascii="仿宋_GB2312" w:eastAsia="仿宋_GB2312" w:hAnsi="宋体"/>
          <w:b/>
          <w:sz w:val="24"/>
        </w:rPr>
        <w:t>宴席设计</w:t>
      </w:r>
    </w:p>
    <w:p w:rsidR="00EC4D5C" w:rsidRDefault="00A97D52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宴席设计书按主题内容、</w:t>
      </w:r>
      <w:r>
        <w:rPr>
          <w:rFonts w:ascii="仿宋_GB2312" w:eastAsia="仿宋_GB2312" w:hAnsi="宋体" w:hint="eastAsia"/>
          <w:sz w:val="24"/>
        </w:rPr>
        <w:t>宴席</w:t>
      </w:r>
      <w:r>
        <w:rPr>
          <w:rFonts w:ascii="仿宋_GB2312" w:eastAsia="仿宋_GB2312" w:hAnsi="宋体"/>
          <w:sz w:val="24"/>
        </w:rPr>
        <w:t>设计、菜点营养分析、安全控制措施、菜单制作和原料清单等六方面进行评判。宴席设计书内容应具有个性特点，内容简洁实用，版面不过度渲染繁杂。具体评分标准见表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/>
          <w:sz w:val="24"/>
        </w:rPr>
        <w:t>。</w:t>
      </w:r>
    </w:p>
    <w:p w:rsidR="00EC4D5C" w:rsidRDefault="00A97D52">
      <w:pPr>
        <w:snapToGrid w:val="0"/>
        <w:spacing w:line="360" w:lineRule="auto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1 </w:t>
      </w:r>
      <w:r>
        <w:rPr>
          <w:rFonts w:ascii="仿宋_GB2312" w:eastAsia="仿宋_GB2312" w:hAnsi="宋体"/>
          <w:sz w:val="24"/>
        </w:rPr>
        <w:t>：宴会设计（书）评分标准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276"/>
        <w:gridCol w:w="851"/>
        <w:gridCol w:w="2409"/>
        <w:gridCol w:w="2744"/>
      </w:tblGrid>
      <w:tr w:rsidR="00EC4D5C">
        <w:tc>
          <w:tcPr>
            <w:tcW w:w="708" w:type="dxa"/>
            <w:vMerge w:val="restart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vMerge w:val="restart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评分项</w:t>
            </w:r>
          </w:p>
        </w:tc>
        <w:tc>
          <w:tcPr>
            <w:tcW w:w="851" w:type="dxa"/>
            <w:vMerge w:val="restart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分值</w:t>
            </w:r>
          </w:p>
        </w:tc>
        <w:tc>
          <w:tcPr>
            <w:tcW w:w="5153" w:type="dxa"/>
            <w:gridSpan w:val="2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评分标准</w:t>
            </w:r>
          </w:p>
        </w:tc>
      </w:tr>
      <w:tr w:rsidR="00EC4D5C">
        <w:tc>
          <w:tcPr>
            <w:tcW w:w="708" w:type="dxa"/>
            <w:vMerge/>
          </w:tcPr>
          <w:p w:rsidR="00EC4D5C" w:rsidRDefault="00EC4D5C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EC4D5C" w:rsidRDefault="00EC4D5C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EC4D5C" w:rsidRDefault="00EC4D5C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09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评判点</w:t>
            </w:r>
          </w:p>
        </w:tc>
        <w:tc>
          <w:tcPr>
            <w:tcW w:w="2744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得分标准</w:t>
            </w:r>
          </w:p>
        </w:tc>
      </w:tr>
      <w:tr w:rsidR="00EC4D5C">
        <w:tc>
          <w:tcPr>
            <w:tcW w:w="708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主题内容</w:t>
            </w:r>
          </w:p>
        </w:tc>
        <w:tc>
          <w:tcPr>
            <w:tcW w:w="851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分</w:t>
            </w:r>
          </w:p>
        </w:tc>
        <w:tc>
          <w:tcPr>
            <w:tcW w:w="2409" w:type="dxa"/>
          </w:tcPr>
          <w:p w:rsidR="00EC4D5C" w:rsidRDefault="00A97D52">
            <w:pPr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宴席主题明确，整体方案围绕主题进行设计，设计理念新颖，符合时代。内容全面、合理，包括主题、接待人数、</w:t>
            </w:r>
            <w:r>
              <w:rPr>
                <w:rFonts w:ascii="仿宋" w:eastAsia="仿宋" w:hAnsi="仿宋" w:cs="CWCKBH+FangSong_GB2312"/>
                <w:color w:val="000000"/>
                <w:spacing w:val="-15"/>
                <w:kern w:val="0"/>
                <w:szCs w:val="21"/>
              </w:rPr>
              <w:t>价位（人均标准）、成本</w:t>
            </w:r>
            <w:r>
              <w:rPr>
                <w:rFonts w:ascii="仿宋" w:eastAsia="仿宋" w:hAnsi="仿宋" w:cs="CWCKBH+FangSong_GB2312" w:hint="eastAsia"/>
                <w:color w:val="000000"/>
                <w:spacing w:val="-15"/>
                <w:kern w:val="0"/>
                <w:szCs w:val="21"/>
              </w:rPr>
              <w:t>等信息。</w:t>
            </w:r>
          </w:p>
        </w:tc>
        <w:tc>
          <w:tcPr>
            <w:tcW w:w="2744" w:type="dxa"/>
          </w:tcPr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①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突出主题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②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设计理念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15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③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内容全面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8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菜点设计</w:t>
            </w:r>
          </w:p>
        </w:tc>
        <w:tc>
          <w:tcPr>
            <w:tcW w:w="851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15</w:t>
            </w: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分</w:t>
            </w:r>
          </w:p>
        </w:tc>
        <w:tc>
          <w:tcPr>
            <w:tcW w:w="2409" w:type="dxa"/>
          </w:tcPr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与宴席主题相吻合，菜点设计符合规律，菜点有文化内涵。</w:t>
            </w:r>
          </w:p>
        </w:tc>
        <w:tc>
          <w:tcPr>
            <w:tcW w:w="2744" w:type="dxa"/>
          </w:tcPr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①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吻合主题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②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设计说明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③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文化内涵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8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菜单制定</w:t>
            </w:r>
          </w:p>
        </w:tc>
        <w:tc>
          <w:tcPr>
            <w:tcW w:w="851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25</w:t>
            </w: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分</w:t>
            </w:r>
          </w:p>
        </w:tc>
        <w:tc>
          <w:tcPr>
            <w:tcW w:w="2409" w:type="dxa"/>
          </w:tcPr>
          <w:p w:rsidR="00EC4D5C" w:rsidRDefault="00A97D52">
            <w:pPr>
              <w:spacing w:before="72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菜单结构完整、使用原料、烹调方法、口味等宴席要求，成本计算合理，作品质量标准卡叙述准确。</w:t>
            </w:r>
          </w:p>
        </w:tc>
        <w:tc>
          <w:tcPr>
            <w:tcW w:w="2744" w:type="dxa"/>
          </w:tcPr>
          <w:p w:rsidR="00EC4D5C" w:rsidRDefault="00A97D52">
            <w:pPr>
              <w:spacing w:before="156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①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组合有序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②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菜点构成合理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③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成本计算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④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作品质量标准卡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8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菜点营养分析</w:t>
            </w:r>
          </w:p>
        </w:tc>
        <w:tc>
          <w:tcPr>
            <w:tcW w:w="851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15</w:t>
            </w: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分</w:t>
            </w:r>
          </w:p>
        </w:tc>
        <w:tc>
          <w:tcPr>
            <w:tcW w:w="2409" w:type="dxa"/>
          </w:tcPr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分析每道菜点营养价值，宴席整体营养搭配合理，能正确进行营养指导，标注菜品适宜或不适宜食用群体。</w:t>
            </w:r>
          </w:p>
        </w:tc>
        <w:tc>
          <w:tcPr>
            <w:tcW w:w="2744" w:type="dxa"/>
          </w:tcPr>
          <w:p w:rsidR="00EC4D5C" w:rsidRDefault="00A97D52">
            <w:pPr>
              <w:spacing w:before="156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①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营养分析准确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7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②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营养分析总结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8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EC4D5C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</w:p>
        </w:tc>
      </w:tr>
      <w:tr w:rsidR="00EC4D5C">
        <w:tc>
          <w:tcPr>
            <w:tcW w:w="708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安全卫生控制</w:t>
            </w:r>
          </w:p>
        </w:tc>
        <w:tc>
          <w:tcPr>
            <w:tcW w:w="851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5</w:t>
            </w: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分</w:t>
            </w:r>
          </w:p>
        </w:tc>
        <w:tc>
          <w:tcPr>
            <w:tcW w:w="2409" w:type="dxa"/>
          </w:tcPr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宴会安全控制措施科学、合理。</w:t>
            </w:r>
          </w:p>
        </w:tc>
        <w:tc>
          <w:tcPr>
            <w:tcW w:w="2744" w:type="dxa"/>
          </w:tcPr>
          <w:p w:rsidR="00EC4D5C" w:rsidRDefault="00A97D52">
            <w:pP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①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合理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3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②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可行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2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8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原料清单</w:t>
            </w:r>
          </w:p>
        </w:tc>
        <w:tc>
          <w:tcPr>
            <w:tcW w:w="851" w:type="dxa"/>
          </w:tcPr>
          <w:p w:rsidR="00EC4D5C" w:rsidRDefault="00A97D52">
            <w:pPr>
              <w:snapToGrid w:val="0"/>
              <w:jc w:val="center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10</w:t>
            </w:r>
            <w:r>
              <w:rPr>
                <w:rFonts w:ascii="仿宋" w:eastAsia="仿宋" w:hAnsi="仿宋" w:cs="CWCKBH+FangSong_GB2312" w:hint="eastAsia"/>
                <w:color w:val="000000"/>
                <w:spacing w:val="9"/>
                <w:kern w:val="0"/>
                <w:szCs w:val="21"/>
              </w:rPr>
              <w:t>分</w:t>
            </w:r>
          </w:p>
        </w:tc>
        <w:tc>
          <w:tcPr>
            <w:tcW w:w="2409" w:type="dxa"/>
          </w:tcPr>
          <w:p w:rsidR="00EC4D5C" w:rsidRDefault="00A97D52">
            <w:pPr>
              <w:spacing w:before="156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原料应符合菜点设计与制作要求，品种与数量合理、清晰、准确，做到物尽其用，不浪费。</w:t>
            </w:r>
          </w:p>
        </w:tc>
        <w:tc>
          <w:tcPr>
            <w:tcW w:w="2744" w:type="dxa"/>
          </w:tcPr>
          <w:p w:rsidR="00EC4D5C" w:rsidRDefault="00A97D52">
            <w:pP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①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不符合规程中宴席设计</w:t>
            </w:r>
          </w:p>
          <w:p w:rsidR="00EC4D5C" w:rsidRDefault="00A97D52">
            <w:pPr>
              <w:spacing w:before="70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的品种和数量要求各扣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1</w:t>
            </w:r>
          </w:p>
          <w:p w:rsidR="00EC4D5C" w:rsidRDefault="00A97D52">
            <w:pPr>
              <w:tabs>
                <w:tab w:val="left" w:pos="916"/>
              </w:tabs>
              <w:spacing w:before="72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②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不足或超出成本每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100</w:t>
            </w:r>
          </w:p>
          <w:p w:rsidR="00EC4D5C" w:rsidRDefault="00A97D52">
            <w:pPr>
              <w:snapToGrid w:val="0"/>
              <w:jc w:val="left"/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元扣</w:t>
            </w:r>
            <w:proofErr w:type="gramEnd"/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4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分，最高扣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 xml:space="preserve"> 8 </w:t>
            </w:r>
            <w:r>
              <w:rPr>
                <w:rFonts w:ascii="仿宋" w:eastAsia="仿宋" w:hAnsi="仿宋" w:cs="CWCKBH+FangSong_GB2312"/>
                <w:color w:val="000000"/>
                <w:spacing w:val="9"/>
                <w:kern w:val="0"/>
                <w:szCs w:val="21"/>
              </w:rPr>
              <w:t>分</w:t>
            </w:r>
          </w:p>
        </w:tc>
      </w:tr>
    </w:tbl>
    <w:p w:rsidR="00EC4D5C" w:rsidRDefault="00A97D52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</w:t>
      </w:r>
      <w:r>
        <w:rPr>
          <w:rFonts w:ascii="仿宋" w:eastAsia="仿宋" w:hAnsi="仿宋" w:hint="eastAsia"/>
          <w:b/>
          <w:sz w:val="24"/>
        </w:rPr>
        <w:t>宴席</w:t>
      </w:r>
      <w:r>
        <w:rPr>
          <w:rFonts w:ascii="仿宋" w:eastAsia="仿宋" w:hAnsi="仿宋"/>
          <w:b/>
          <w:sz w:val="24"/>
        </w:rPr>
        <w:t>制作</w:t>
      </w:r>
    </w:p>
    <w:p w:rsidR="00EC4D5C" w:rsidRDefault="00A97D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（</w:t>
      </w:r>
      <w:r>
        <w:rPr>
          <w:rFonts w:ascii="仿宋" w:eastAsia="仿宋" w:hAnsi="仿宋" w:hint="eastAsia"/>
          <w:sz w:val="24"/>
        </w:rPr>
        <w:t>一</w:t>
      </w:r>
      <w:r>
        <w:rPr>
          <w:rFonts w:ascii="仿宋" w:eastAsia="仿宋" w:hAnsi="仿宋"/>
          <w:sz w:val="24"/>
        </w:rPr>
        <w:t>）现场操作</w:t>
      </w:r>
    </w:p>
    <w:p w:rsidR="00EC4D5C" w:rsidRDefault="00A97D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/>
          <w:sz w:val="24"/>
        </w:rPr>
        <w:t>现场操作要求</w:t>
      </w:r>
    </w:p>
    <w:p w:rsidR="00EC4D5C" w:rsidRDefault="00A97D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操作流程：操作规范，动作规范，技法得当，流程合理，投料准确，按时完成，安全操作。</w:t>
      </w:r>
    </w:p>
    <w:p w:rsidR="00EC4D5C" w:rsidRDefault="00A97D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原料加工：用料符合要求，刀功熟练，加工规范，原料利用率高。</w:t>
      </w:r>
    </w:p>
    <w:p w:rsidR="00EC4D5C" w:rsidRDefault="00A97D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原料使用：原料选用符合菜肴设计与制作的要求，品种与数量合理、清晰、准确，做到物尽其用，</w:t>
      </w:r>
      <w:proofErr w:type="gramStart"/>
      <w:r>
        <w:rPr>
          <w:rFonts w:ascii="仿宋" w:eastAsia="仿宋" w:hAnsi="仿宋"/>
          <w:sz w:val="24"/>
        </w:rPr>
        <w:t>不虚购</w:t>
      </w:r>
      <w:proofErr w:type="gramEnd"/>
      <w:r>
        <w:rPr>
          <w:rFonts w:ascii="仿宋" w:eastAsia="仿宋" w:hAnsi="仿宋"/>
          <w:sz w:val="24"/>
        </w:rPr>
        <w:t>、不浪费，注重节约。</w:t>
      </w:r>
    </w:p>
    <w:p w:rsidR="00EC4D5C" w:rsidRDefault="00A97D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卫生安全：操作区域整洁干净，注重个人卫生，废弃物处理得当，原料及作品保存合理。</w:t>
      </w:r>
    </w:p>
    <w:p w:rsidR="00EC4D5C" w:rsidRDefault="00A97D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/>
          <w:sz w:val="24"/>
        </w:rPr>
        <w:t>现场操作评分办法</w:t>
      </w:r>
    </w:p>
    <w:p w:rsidR="00EC4D5C" w:rsidRDefault="00A97D5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现场操作评分项分为选手仪容仪表项和现场操作违规或不规范项。采用扣分法进行评分，裁判员依据现场操作要求对选手的违规行为和违纪现象进行记录，</w:t>
      </w:r>
      <w:r>
        <w:rPr>
          <w:rFonts w:ascii="仿宋" w:eastAsia="仿宋" w:hAnsi="仿宋"/>
          <w:sz w:val="24"/>
        </w:rPr>
        <w:t>并依据扣分标准进行扣分。详见表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2 </w:t>
      </w:r>
      <w:r>
        <w:rPr>
          <w:rFonts w:ascii="仿宋" w:eastAsia="仿宋" w:hAnsi="仿宋"/>
          <w:sz w:val="24"/>
        </w:rPr>
        <w:t>。</w:t>
      </w:r>
    </w:p>
    <w:p w:rsidR="00EC4D5C" w:rsidRDefault="00A97D52">
      <w:pPr>
        <w:spacing w:line="360" w:lineRule="auto"/>
        <w:ind w:firstLineChars="400" w:firstLine="96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2 </w:t>
      </w:r>
      <w:r>
        <w:rPr>
          <w:rFonts w:ascii="仿宋_GB2312" w:eastAsia="仿宋_GB2312" w:hAnsi="宋体"/>
          <w:sz w:val="24"/>
        </w:rPr>
        <w:t>：现场操作违规和不规范操作内容及扣分标准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709"/>
        <w:gridCol w:w="1418"/>
        <w:gridCol w:w="4394"/>
      </w:tblGrid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违规或不规范内容</w:t>
            </w:r>
          </w:p>
        </w:tc>
        <w:tc>
          <w:tcPr>
            <w:tcW w:w="4394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相应扣分标准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仪容仪表</w:t>
            </w:r>
          </w:p>
        </w:tc>
        <w:tc>
          <w:tcPr>
            <w:tcW w:w="4394" w:type="dxa"/>
          </w:tcPr>
          <w:p w:rsidR="00EC4D5C" w:rsidRDefault="00A97D52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长头发未包进工作帽内，散乱；指甲过长或涂带色指甲油；手上佩戴戒指等首饰，每一项扣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分，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最高</w:t>
            </w:r>
            <w:r>
              <w:rPr>
                <w:rFonts w:ascii="仿宋" w:eastAsia="仿宋" w:hAnsi="仿宋"/>
                <w:kern w:val="0"/>
                <w:szCs w:val="21"/>
              </w:rPr>
              <w:t>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着装</w:t>
            </w:r>
          </w:p>
        </w:tc>
        <w:tc>
          <w:tcPr>
            <w:tcW w:w="4394" w:type="dxa"/>
          </w:tcPr>
          <w:p w:rsidR="00EC4D5C" w:rsidRDefault="00A97D52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工作衣、</w:t>
            </w:r>
            <w:proofErr w:type="gramStart"/>
            <w:r>
              <w:rPr>
                <w:rFonts w:ascii="仿宋" w:eastAsia="仿宋" w:hAnsi="仿宋"/>
                <w:kern w:val="0"/>
                <w:szCs w:val="21"/>
              </w:rPr>
              <w:t>帽不整洁</w:t>
            </w:r>
            <w:proofErr w:type="gramEnd"/>
            <w:r>
              <w:rPr>
                <w:rFonts w:ascii="仿宋" w:eastAsia="仿宋" w:hAnsi="仿宋"/>
                <w:kern w:val="0"/>
                <w:szCs w:val="21"/>
              </w:rPr>
              <w:t>或破损；</w:t>
            </w:r>
            <w:proofErr w:type="gramStart"/>
            <w:r>
              <w:rPr>
                <w:rFonts w:ascii="仿宋" w:eastAsia="仿宋" w:hAnsi="仿宋"/>
                <w:kern w:val="0"/>
                <w:szCs w:val="21"/>
              </w:rPr>
              <w:t>不</w:t>
            </w:r>
            <w:proofErr w:type="gramEnd"/>
            <w:r>
              <w:rPr>
                <w:rFonts w:ascii="仿宋" w:eastAsia="仿宋" w:hAnsi="仿宋"/>
                <w:kern w:val="0"/>
                <w:szCs w:val="21"/>
              </w:rPr>
              <w:t>穿戴工作衣、帽、围裙；脚踝裸露；不穿厨师专用鞋，每一项扣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超时</w:t>
            </w:r>
          </w:p>
        </w:tc>
        <w:tc>
          <w:tcPr>
            <w:tcW w:w="4394" w:type="dxa"/>
          </w:tcPr>
          <w:p w:rsidR="00EC4D5C" w:rsidRDefault="00A97D52">
            <w:pPr>
              <w:spacing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5 </w:t>
            </w:r>
            <w:r>
              <w:rPr>
                <w:rFonts w:ascii="仿宋" w:eastAsia="仿宋" w:hAnsi="仿宋"/>
                <w:kern w:val="0"/>
                <w:szCs w:val="21"/>
              </w:rPr>
              <w:t>分钟内，每分钟扣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 </w:t>
            </w:r>
            <w:r>
              <w:rPr>
                <w:rFonts w:ascii="仿宋" w:eastAsia="仿宋" w:hAnsi="仿宋"/>
                <w:kern w:val="0"/>
                <w:szCs w:val="21"/>
              </w:rPr>
              <w:t>分，最高扣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分；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5 </w:t>
            </w:r>
            <w:r>
              <w:rPr>
                <w:rFonts w:ascii="仿宋" w:eastAsia="仿宋" w:hAnsi="仿宋"/>
                <w:kern w:val="0"/>
                <w:szCs w:val="21"/>
              </w:rPr>
              <w:t>分钟后终止考试操作，选手离场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不关火</w:t>
            </w:r>
          </w:p>
        </w:tc>
        <w:tc>
          <w:tcPr>
            <w:tcW w:w="4394" w:type="dxa"/>
          </w:tcPr>
          <w:p w:rsidR="00EC4D5C" w:rsidRDefault="00A97D52">
            <w:pPr>
              <w:spacing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无加热操作时炉灶主眼火不关闭，每次扣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长流水</w:t>
            </w:r>
          </w:p>
        </w:tc>
        <w:tc>
          <w:tcPr>
            <w:tcW w:w="4394" w:type="dxa"/>
          </w:tcPr>
          <w:p w:rsidR="00EC4D5C" w:rsidRDefault="00A97D52">
            <w:pPr>
              <w:spacing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无用水操作，水龙头长流水，每次扣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浪费原料</w:t>
            </w:r>
          </w:p>
        </w:tc>
        <w:tc>
          <w:tcPr>
            <w:tcW w:w="4394" w:type="dxa"/>
          </w:tcPr>
          <w:p w:rsidR="00EC4D5C" w:rsidRDefault="00A97D52">
            <w:pPr>
              <w:spacing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将可回收利用的原材料扔入垃圾桶扣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原料选用过剩，超过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20%</w:t>
            </w:r>
            <w:r>
              <w:rPr>
                <w:rFonts w:ascii="仿宋" w:eastAsia="仿宋" w:hAnsi="仿宋"/>
                <w:kern w:val="0"/>
                <w:szCs w:val="21"/>
              </w:rPr>
              <w:t>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多做挑选</w:t>
            </w:r>
          </w:p>
        </w:tc>
        <w:tc>
          <w:tcPr>
            <w:tcW w:w="4394" w:type="dxa"/>
          </w:tcPr>
          <w:p w:rsidR="00EC4D5C" w:rsidRDefault="00A97D52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每一件菜品多做挑选扣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失</w:t>
            </w:r>
            <w:proofErr w:type="gramStart"/>
            <w:r>
              <w:rPr>
                <w:rFonts w:ascii="仿宋" w:eastAsia="仿宋" w:hAnsi="仿宋"/>
                <w:kern w:val="0"/>
                <w:szCs w:val="21"/>
              </w:rPr>
              <w:t>饪</w:t>
            </w:r>
            <w:proofErr w:type="gramEnd"/>
            <w:r>
              <w:rPr>
                <w:rFonts w:ascii="仿宋" w:eastAsia="仿宋" w:hAnsi="仿宋"/>
                <w:kern w:val="0"/>
                <w:szCs w:val="21"/>
              </w:rPr>
              <w:t>重做</w:t>
            </w:r>
          </w:p>
        </w:tc>
        <w:tc>
          <w:tcPr>
            <w:tcW w:w="4394" w:type="dxa"/>
          </w:tcPr>
          <w:p w:rsidR="00EC4D5C" w:rsidRDefault="00A97D52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每一件菜品失</w:t>
            </w:r>
            <w:proofErr w:type="gramStart"/>
            <w:r>
              <w:rPr>
                <w:rFonts w:ascii="仿宋" w:eastAsia="仿宋" w:hAnsi="仿宋"/>
                <w:kern w:val="0"/>
                <w:szCs w:val="21"/>
              </w:rPr>
              <w:t>饪</w:t>
            </w:r>
            <w:proofErr w:type="gramEnd"/>
            <w:r>
              <w:rPr>
                <w:rFonts w:ascii="仿宋" w:eastAsia="仿宋" w:hAnsi="仿宋"/>
                <w:kern w:val="0"/>
                <w:szCs w:val="21"/>
              </w:rPr>
              <w:t>重做扣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不服从指挥</w:t>
            </w:r>
          </w:p>
        </w:tc>
        <w:tc>
          <w:tcPr>
            <w:tcW w:w="4394" w:type="dxa"/>
          </w:tcPr>
          <w:p w:rsidR="00EC4D5C" w:rsidRDefault="00A97D52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不服从现场裁判员指挥每次扣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rPr>
          <w:trHeight w:val="1140"/>
        </w:trPr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安全事故</w:t>
            </w:r>
          </w:p>
        </w:tc>
        <w:tc>
          <w:tcPr>
            <w:tcW w:w="4394" w:type="dxa"/>
          </w:tcPr>
          <w:p w:rsidR="00EC4D5C" w:rsidRDefault="00A97D52">
            <w:pPr>
              <w:spacing w:before="216" w:after="72" w:line="25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不规范操作导致设备损坏、影响其他选手操作等行为，最高扣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因选手的责任造成火灾扣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100 </w:t>
            </w:r>
            <w:r>
              <w:rPr>
                <w:rFonts w:ascii="仿宋" w:eastAsia="仿宋" w:hAnsi="仿宋"/>
                <w:kern w:val="0"/>
                <w:szCs w:val="21"/>
              </w:rPr>
              <w:t>分，终止考试，选手离场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不卫生行为</w:t>
            </w:r>
          </w:p>
        </w:tc>
        <w:tc>
          <w:tcPr>
            <w:tcW w:w="4394" w:type="dxa"/>
          </w:tcPr>
          <w:p w:rsidR="00EC4D5C" w:rsidRDefault="00A97D52">
            <w:pPr>
              <w:spacing w:before="82"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个人不符合《食品安全法》的卫生行为，每次扣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10 </w:t>
            </w:r>
            <w:r>
              <w:rPr>
                <w:rFonts w:ascii="仿宋" w:eastAsia="仿宋" w:hAnsi="仿宋"/>
                <w:kern w:val="0"/>
                <w:szCs w:val="21"/>
              </w:rPr>
              <w:t>分，最多扣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82"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台面脏乱等操作不卫生行为扣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82"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赛毕不打扫卫生扣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82"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④</w:t>
            </w:r>
            <w:r>
              <w:rPr>
                <w:rFonts w:ascii="仿宋" w:eastAsia="仿宋" w:hAnsi="仿宋"/>
                <w:kern w:val="0"/>
                <w:szCs w:val="21"/>
              </w:rPr>
              <w:t>不按照卫生防疫有关要求的行为，每次扣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12</w:t>
            </w:r>
          </w:p>
        </w:tc>
        <w:tc>
          <w:tcPr>
            <w:tcW w:w="1418" w:type="dxa"/>
          </w:tcPr>
          <w:p w:rsidR="00EC4D5C" w:rsidRDefault="00A97D52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垃圾分类不规范</w:t>
            </w:r>
          </w:p>
        </w:tc>
        <w:tc>
          <w:tcPr>
            <w:tcW w:w="4394" w:type="dxa"/>
          </w:tcPr>
          <w:p w:rsidR="00EC4D5C" w:rsidRDefault="00A97D52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不按规定对垃圾进行分类，每次扣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餐具超标</w:t>
            </w:r>
          </w:p>
        </w:tc>
        <w:tc>
          <w:tcPr>
            <w:tcW w:w="4394" w:type="dxa"/>
          </w:tcPr>
          <w:p w:rsidR="00EC4D5C" w:rsidRDefault="00A97D52">
            <w:pPr>
              <w:spacing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菜点餐具直径超过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50cm</w:t>
            </w:r>
            <w:r>
              <w:rPr>
                <w:rFonts w:ascii="仿宋" w:eastAsia="仿宋" w:hAnsi="仿宋"/>
                <w:kern w:val="0"/>
                <w:szCs w:val="21"/>
              </w:rPr>
              <w:t>，冷菜总盘餐具直径或边长超过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60cm</w:t>
            </w:r>
            <w:r>
              <w:rPr>
                <w:rFonts w:ascii="仿宋" w:eastAsia="仿宋" w:hAnsi="仿宋"/>
                <w:kern w:val="0"/>
                <w:szCs w:val="21"/>
              </w:rPr>
              <w:t>，每件扣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 </w:t>
            </w:r>
            <w:r>
              <w:rPr>
                <w:rFonts w:ascii="仿宋" w:eastAsia="仿宋" w:hAnsi="仿宋"/>
                <w:kern w:val="0"/>
                <w:szCs w:val="21"/>
              </w:rPr>
              <w:t>分，最高扣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14</w:t>
            </w:r>
          </w:p>
        </w:tc>
        <w:tc>
          <w:tcPr>
            <w:tcW w:w="1418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其他作弊行为</w:t>
            </w:r>
          </w:p>
        </w:tc>
        <w:tc>
          <w:tcPr>
            <w:tcW w:w="4394" w:type="dxa"/>
          </w:tcPr>
          <w:p w:rsidR="00EC4D5C" w:rsidRDefault="00A97D52">
            <w:pPr>
              <w:spacing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经现场裁判组长和裁判长认定为作弊行为（如操作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过</w:t>
            </w:r>
            <w:r>
              <w:rPr>
                <w:rFonts w:ascii="仿宋" w:eastAsia="仿宋" w:hAnsi="仿宋"/>
                <w:kern w:val="0"/>
                <w:szCs w:val="21"/>
              </w:rPr>
              <w:t>程中发现夹带原料和成品、偷换作品、破坏其他代表</w:t>
            </w:r>
          </w:p>
          <w:p w:rsidR="00EC4D5C" w:rsidRDefault="00A97D52">
            <w:pPr>
              <w:spacing w:before="72"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队选手作品等行为），扣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100 </w:t>
            </w:r>
            <w:r>
              <w:rPr>
                <w:rFonts w:ascii="仿宋" w:eastAsia="仿宋" w:hAnsi="仿宋"/>
                <w:kern w:val="0"/>
                <w:szCs w:val="21"/>
              </w:rPr>
              <w:t>分，并终止操作，选手</w:t>
            </w:r>
          </w:p>
          <w:p w:rsidR="00EC4D5C" w:rsidRDefault="00A97D52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离场</w:t>
            </w:r>
          </w:p>
        </w:tc>
      </w:tr>
      <w:tr w:rsidR="00EC4D5C">
        <w:tc>
          <w:tcPr>
            <w:tcW w:w="6521" w:type="dxa"/>
            <w:gridSpan w:val="3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备注：累计扣分不超过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100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分</w:t>
            </w:r>
          </w:p>
        </w:tc>
      </w:tr>
    </w:tbl>
    <w:p w:rsidR="00EC4D5C" w:rsidRDefault="00A97D52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二</w:t>
      </w:r>
      <w:r>
        <w:rPr>
          <w:rFonts w:ascii="仿宋_GB2312" w:eastAsia="仿宋_GB2312" w:hAnsi="宋体"/>
          <w:sz w:val="24"/>
        </w:rPr>
        <w:t>）菜品质量</w:t>
      </w:r>
    </w:p>
    <w:p w:rsidR="00EC4D5C" w:rsidRDefault="00A97D52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参赛队送评热菜</w:t>
      </w:r>
      <w:r>
        <w:rPr>
          <w:rFonts w:ascii="仿宋_GB2312" w:eastAsia="仿宋_GB2312" w:hAnsi="宋体"/>
          <w:sz w:val="24"/>
        </w:rPr>
        <w:t xml:space="preserve"> 4 </w:t>
      </w:r>
      <w:r>
        <w:rPr>
          <w:rFonts w:ascii="仿宋_GB2312" w:eastAsia="仿宋_GB2312" w:hAnsi="宋体"/>
          <w:sz w:val="24"/>
        </w:rPr>
        <w:t>道</w:t>
      </w:r>
      <w:r>
        <w:rPr>
          <w:rFonts w:ascii="仿宋_GB2312" w:eastAsia="仿宋_GB2312" w:hAnsi="宋体" w:hint="eastAsia"/>
          <w:sz w:val="24"/>
        </w:rPr>
        <w:t>（</w:t>
      </w:r>
      <w:proofErr w:type="gramStart"/>
      <w:r>
        <w:rPr>
          <w:rFonts w:ascii="仿宋_GB2312" w:eastAsia="仿宋_GB2312" w:hAnsi="宋体"/>
          <w:sz w:val="24"/>
        </w:rPr>
        <w:t>含规定</w:t>
      </w:r>
      <w:proofErr w:type="gramEnd"/>
      <w:r>
        <w:rPr>
          <w:rFonts w:ascii="仿宋_GB2312" w:eastAsia="仿宋_GB2312" w:hAnsi="宋体" w:hint="eastAsia"/>
          <w:sz w:val="24"/>
        </w:rPr>
        <w:t>中式</w:t>
      </w:r>
      <w:r>
        <w:rPr>
          <w:rFonts w:ascii="仿宋_GB2312" w:eastAsia="仿宋_GB2312" w:hAnsi="宋体"/>
          <w:sz w:val="24"/>
        </w:rPr>
        <w:t>热菜和西</w:t>
      </w:r>
      <w:r>
        <w:rPr>
          <w:rFonts w:ascii="仿宋_GB2312" w:eastAsia="仿宋_GB2312" w:hAnsi="宋体" w:hint="eastAsia"/>
          <w:sz w:val="24"/>
        </w:rPr>
        <w:t>餐菜品</w:t>
      </w:r>
      <w:r>
        <w:rPr>
          <w:rFonts w:ascii="仿宋_GB2312" w:eastAsia="仿宋_GB2312" w:hAnsi="宋体"/>
          <w:sz w:val="24"/>
        </w:rPr>
        <w:t>）、面点</w:t>
      </w:r>
      <w:r>
        <w:rPr>
          <w:rFonts w:ascii="仿宋_GB2312" w:eastAsia="仿宋_GB2312" w:hAnsi="宋体"/>
          <w:sz w:val="24"/>
        </w:rPr>
        <w:t xml:space="preserve"> 2 </w:t>
      </w:r>
      <w:r>
        <w:rPr>
          <w:rFonts w:ascii="仿宋_GB2312" w:eastAsia="仿宋_GB2312" w:hAnsi="宋体"/>
          <w:sz w:val="24"/>
        </w:rPr>
        <w:t>道，冷拼</w:t>
      </w:r>
      <w:r>
        <w:rPr>
          <w:rFonts w:ascii="仿宋_GB2312" w:eastAsia="仿宋_GB2312" w:hAnsi="宋体"/>
          <w:sz w:val="24"/>
        </w:rPr>
        <w:t xml:space="preserve"> 1 </w:t>
      </w:r>
      <w:r>
        <w:rPr>
          <w:rFonts w:ascii="仿宋_GB2312" w:eastAsia="仿宋_GB2312" w:hAnsi="宋体"/>
          <w:sz w:val="24"/>
        </w:rPr>
        <w:t>组（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>含</w:t>
      </w:r>
      <w:r>
        <w:rPr>
          <w:rFonts w:ascii="仿宋_GB2312" w:eastAsia="仿宋_GB2312" w:hAnsi="宋体"/>
          <w:sz w:val="24"/>
        </w:rPr>
        <w:t xml:space="preserve"> 4 </w:t>
      </w:r>
      <w:proofErr w:type="gramStart"/>
      <w:r>
        <w:rPr>
          <w:rFonts w:ascii="仿宋_GB2312" w:eastAsia="仿宋_GB2312" w:hAnsi="宋体"/>
          <w:sz w:val="24"/>
        </w:rPr>
        <w:t>盘围碟</w:t>
      </w:r>
      <w:proofErr w:type="gramEnd"/>
      <w:r>
        <w:rPr>
          <w:rFonts w:ascii="仿宋_GB2312" w:eastAsia="仿宋_GB2312" w:hAnsi="宋体"/>
          <w:sz w:val="24"/>
        </w:rPr>
        <w:t>冷菜），得分所占权重：冷拼占</w:t>
      </w:r>
      <w:r>
        <w:rPr>
          <w:rFonts w:ascii="仿宋_GB2312" w:eastAsia="仿宋_GB2312" w:hAnsi="宋体"/>
          <w:sz w:val="24"/>
        </w:rPr>
        <w:t xml:space="preserve"> 20%</w:t>
      </w:r>
      <w:r>
        <w:rPr>
          <w:rFonts w:ascii="仿宋_GB2312" w:eastAsia="仿宋_GB2312" w:hAnsi="宋体"/>
          <w:sz w:val="24"/>
        </w:rPr>
        <w:t>、热菜占</w:t>
      </w:r>
      <w:r>
        <w:rPr>
          <w:rFonts w:ascii="仿宋_GB2312" w:eastAsia="仿宋_GB2312" w:hAnsi="宋体"/>
          <w:sz w:val="24"/>
        </w:rPr>
        <w:t xml:space="preserve"> 60%</w:t>
      </w:r>
      <w:r>
        <w:rPr>
          <w:rFonts w:ascii="仿宋_GB2312" w:eastAsia="仿宋_GB2312" w:hAnsi="宋体"/>
          <w:sz w:val="24"/>
        </w:rPr>
        <w:t>、面点占</w:t>
      </w:r>
      <w:r>
        <w:rPr>
          <w:rFonts w:ascii="仿宋_GB2312" w:eastAsia="仿宋_GB2312" w:hAnsi="宋体"/>
          <w:sz w:val="24"/>
        </w:rPr>
        <w:t xml:space="preserve"> 20%</w:t>
      </w:r>
      <w:r>
        <w:rPr>
          <w:rFonts w:ascii="仿宋_GB2312" w:eastAsia="仿宋_GB2312" w:hAnsi="宋体"/>
          <w:sz w:val="24"/>
        </w:rPr>
        <w:t>。执委会对所有作品拍照留存，裁判员对作品实行分类排队打分。送评后的作品、未送评作品均送宴席展台展示。宴席热菜作品评分标准见表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，规定热菜作品评分标准见表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/>
          <w:sz w:val="24"/>
        </w:rPr>
        <w:t>，面点作品评分标准见表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/>
          <w:sz w:val="24"/>
        </w:rPr>
        <w:t>，冷菜作品评分标准见表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/>
          <w:sz w:val="24"/>
        </w:rPr>
        <w:t>。</w:t>
      </w:r>
    </w:p>
    <w:p w:rsidR="00EC4D5C" w:rsidRDefault="00A97D52">
      <w:pPr>
        <w:spacing w:line="360" w:lineRule="auto"/>
        <w:ind w:firstLineChars="1000" w:firstLine="24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：宴席热菜作品评分标准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977"/>
        <w:gridCol w:w="2885"/>
      </w:tblGrid>
      <w:tr w:rsidR="00EC4D5C">
        <w:tc>
          <w:tcPr>
            <w:tcW w:w="709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评分项</w:t>
            </w:r>
          </w:p>
        </w:tc>
        <w:tc>
          <w:tcPr>
            <w:tcW w:w="851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分值</w:t>
            </w:r>
          </w:p>
        </w:tc>
        <w:tc>
          <w:tcPr>
            <w:tcW w:w="5862" w:type="dxa"/>
            <w:gridSpan w:val="2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评分标准</w:t>
            </w:r>
          </w:p>
        </w:tc>
      </w:tr>
      <w:tr w:rsidR="00EC4D5C">
        <w:tc>
          <w:tcPr>
            <w:tcW w:w="709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77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评判点</w:t>
            </w:r>
          </w:p>
        </w:tc>
        <w:tc>
          <w:tcPr>
            <w:tcW w:w="2885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得分标准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口味与质感</w:t>
            </w:r>
          </w:p>
        </w:tc>
        <w:tc>
          <w:tcPr>
            <w:tcW w:w="851" w:type="dxa"/>
          </w:tcPr>
          <w:p w:rsidR="00EC4D5C" w:rsidRDefault="00A97D52">
            <w:pPr>
              <w:spacing w:before="31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35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调味得当，主味突出，质感符合应有要求，体现地方特色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调味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质感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地方特色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工艺与火候</w:t>
            </w:r>
          </w:p>
        </w:tc>
        <w:tc>
          <w:tcPr>
            <w:tcW w:w="851" w:type="dxa"/>
          </w:tcPr>
          <w:p w:rsidR="00EC4D5C" w:rsidRDefault="00A97D52">
            <w:pPr>
              <w:spacing w:before="46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烹法恰当，火候适宜，特点鲜明，区域技法明显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烹法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火候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特点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④</w:t>
            </w:r>
            <w:r>
              <w:rPr>
                <w:rFonts w:ascii="仿宋" w:eastAsia="仿宋" w:hAnsi="仿宋"/>
                <w:kern w:val="0"/>
                <w:szCs w:val="21"/>
              </w:rPr>
              <w:t>区域技法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创意与实用</w:t>
            </w:r>
          </w:p>
        </w:tc>
        <w:tc>
          <w:tcPr>
            <w:tcW w:w="851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设计合理，技艺新颖，有较高的技术技巧，创意突出，适合推广</w:t>
            </w:r>
          </w:p>
        </w:tc>
        <w:tc>
          <w:tcPr>
            <w:tcW w:w="2885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创意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实用推广价值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形态与色泽</w:t>
            </w:r>
          </w:p>
        </w:tc>
        <w:tc>
          <w:tcPr>
            <w:tcW w:w="851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刀工均匀，色彩自然，造型美观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刀工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色彩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造型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</w:tbl>
    <w:p w:rsidR="00EC4D5C" w:rsidRDefault="00A97D52">
      <w:pPr>
        <w:spacing w:line="360" w:lineRule="auto"/>
        <w:ind w:firstLineChars="1150" w:firstLine="27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lastRenderedPageBreak/>
        <w:t>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/>
          <w:sz w:val="24"/>
        </w:rPr>
        <w:t>：规定热菜作品评分标准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977"/>
        <w:gridCol w:w="2885"/>
      </w:tblGrid>
      <w:tr w:rsidR="00EC4D5C">
        <w:tc>
          <w:tcPr>
            <w:tcW w:w="709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评分项</w:t>
            </w:r>
          </w:p>
        </w:tc>
        <w:tc>
          <w:tcPr>
            <w:tcW w:w="851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分值</w:t>
            </w:r>
          </w:p>
        </w:tc>
        <w:tc>
          <w:tcPr>
            <w:tcW w:w="5862" w:type="dxa"/>
            <w:gridSpan w:val="2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评分标准</w:t>
            </w:r>
          </w:p>
        </w:tc>
      </w:tr>
      <w:tr w:rsidR="00EC4D5C">
        <w:tc>
          <w:tcPr>
            <w:tcW w:w="709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77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评判点</w:t>
            </w:r>
          </w:p>
        </w:tc>
        <w:tc>
          <w:tcPr>
            <w:tcW w:w="2885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得分标准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口味与质感</w:t>
            </w:r>
          </w:p>
        </w:tc>
        <w:tc>
          <w:tcPr>
            <w:tcW w:w="851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40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调味得当，主味突出，质感符合应有要求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调味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质感（</w:t>
            </w:r>
            <w:proofErr w:type="gramStart"/>
            <w:r>
              <w:rPr>
                <w:rFonts w:ascii="仿宋" w:eastAsia="仿宋" w:hAnsi="仿宋"/>
                <w:kern w:val="0"/>
                <w:szCs w:val="21"/>
              </w:rPr>
              <w:t>芡</w:t>
            </w:r>
            <w:proofErr w:type="gramEnd"/>
            <w:r>
              <w:rPr>
                <w:rFonts w:ascii="仿宋" w:eastAsia="仿宋" w:hAnsi="仿宋"/>
                <w:kern w:val="0"/>
                <w:szCs w:val="21"/>
              </w:rPr>
              <w:t>汁）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25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工艺与火候</w:t>
            </w:r>
          </w:p>
        </w:tc>
        <w:tc>
          <w:tcPr>
            <w:tcW w:w="851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烹法准确，火候适宜，特点鲜明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烹法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火候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EC4D5C" w:rsidRDefault="00A97D52">
            <w:pPr>
              <w:spacing w:before="154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形态与色泽</w:t>
            </w:r>
          </w:p>
        </w:tc>
        <w:tc>
          <w:tcPr>
            <w:tcW w:w="851" w:type="dxa"/>
          </w:tcPr>
          <w:p w:rsidR="00EC4D5C" w:rsidRDefault="00A97D52">
            <w:pPr>
              <w:spacing w:before="31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154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刀工均匀，色彩自然，装盘造型美观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刀工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色彩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装盘造型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数量与卫生</w:t>
            </w:r>
          </w:p>
        </w:tc>
        <w:tc>
          <w:tcPr>
            <w:tcW w:w="851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出菜率高，菜肴清爽，盛器卫生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数量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卫生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</w:tbl>
    <w:p w:rsidR="00EC4D5C" w:rsidRDefault="00A97D52">
      <w:pPr>
        <w:spacing w:line="360" w:lineRule="auto"/>
        <w:ind w:firstLineChars="1150" w:firstLine="27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/>
          <w:sz w:val="24"/>
        </w:rPr>
        <w:t>：面点作品评分标准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977"/>
        <w:gridCol w:w="2885"/>
      </w:tblGrid>
      <w:tr w:rsidR="00EC4D5C">
        <w:tc>
          <w:tcPr>
            <w:tcW w:w="709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评分项</w:t>
            </w:r>
          </w:p>
        </w:tc>
        <w:tc>
          <w:tcPr>
            <w:tcW w:w="851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分值</w:t>
            </w:r>
          </w:p>
        </w:tc>
        <w:tc>
          <w:tcPr>
            <w:tcW w:w="5862" w:type="dxa"/>
            <w:gridSpan w:val="2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评分标准</w:t>
            </w:r>
          </w:p>
        </w:tc>
      </w:tr>
      <w:tr w:rsidR="00EC4D5C">
        <w:tc>
          <w:tcPr>
            <w:tcW w:w="709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77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评判点</w:t>
            </w:r>
          </w:p>
        </w:tc>
        <w:tc>
          <w:tcPr>
            <w:tcW w:w="2885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得分标准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口味与质感</w:t>
            </w:r>
          </w:p>
        </w:tc>
        <w:tc>
          <w:tcPr>
            <w:tcW w:w="851" w:type="dxa"/>
          </w:tcPr>
          <w:p w:rsidR="00EC4D5C" w:rsidRDefault="00A97D52">
            <w:pPr>
              <w:spacing w:before="468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40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调味得当，口味纯正，主味突出，无异味，质感符合应有要求，体现地方特色</w:t>
            </w:r>
          </w:p>
        </w:tc>
        <w:tc>
          <w:tcPr>
            <w:tcW w:w="2885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口味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质感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地方特色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工艺与火候</w:t>
            </w:r>
          </w:p>
        </w:tc>
        <w:tc>
          <w:tcPr>
            <w:tcW w:w="851" w:type="dxa"/>
          </w:tcPr>
          <w:p w:rsidR="00EC4D5C" w:rsidRDefault="00A97D52">
            <w:pPr>
              <w:spacing w:before="46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成熟恰当，火候适宜，主辅料配比合理，特色鲜明，区域技法明显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火候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配比合理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特色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④</w:t>
            </w:r>
            <w:r>
              <w:rPr>
                <w:rFonts w:ascii="仿宋" w:eastAsia="仿宋" w:hAnsi="仿宋"/>
                <w:kern w:val="0"/>
                <w:szCs w:val="21"/>
              </w:rPr>
              <w:t>区域技法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创意与实用</w:t>
            </w:r>
          </w:p>
        </w:tc>
        <w:tc>
          <w:tcPr>
            <w:tcW w:w="851" w:type="dxa"/>
          </w:tcPr>
          <w:p w:rsidR="00EC4D5C" w:rsidRDefault="00A97D52">
            <w:pPr>
              <w:spacing w:before="46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注重营养卫生，设计合理，有较高的技术技巧，创意突出，适合推广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创意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营养合理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技术技巧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④</w:t>
            </w:r>
            <w:r>
              <w:rPr>
                <w:rFonts w:ascii="仿宋" w:eastAsia="仿宋" w:hAnsi="仿宋"/>
                <w:kern w:val="0"/>
                <w:szCs w:val="21"/>
              </w:rPr>
              <w:t>推广价值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形态与色泽</w:t>
            </w:r>
          </w:p>
        </w:tc>
        <w:tc>
          <w:tcPr>
            <w:tcW w:w="851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造型美观，色彩自然，摆放有序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造型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3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色彩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摆放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</w:tbl>
    <w:p w:rsidR="00EC4D5C" w:rsidRDefault="00A97D52">
      <w:pPr>
        <w:spacing w:line="360" w:lineRule="auto"/>
        <w:ind w:firstLineChars="400" w:firstLine="96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/>
          <w:sz w:val="24"/>
        </w:rPr>
        <w:t>：冷拼作品评分标</w:t>
      </w:r>
      <w:r>
        <w:rPr>
          <w:rFonts w:ascii="仿宋_GB2312" w:eastAsia="仿宋_GB2312" w:hAnsi="宋体" w:hint="eastAsia"/>
          <w:sz w:val="24"/>
        </w:rPr>
        <w:t>准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977"/>
        <w:gridCol w:w="2885"/>
      </w:tblGrid>
      <w:tr w:rsidR="00EC4D5C">
        <w:tc>
          <w:tcPr>
            <w:tcW w:w="709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评分项</w:t>
            </w:r>
          </w:p>
        </w:tc>
        <w:tc>
          <w:tcPr>
            <w:tcW w:w="851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分值</w:t>
            </w:r>
          </w:p>
        </w:tc>
        <w:tc>
          <w:tcPr>
            <w:tcW w:w="5862" w:type="dxa"/>
            <w:gridSpan w:val="2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评分标准</w:t>
            </w:r>
          </w:p>
        </w:tc>
      </w:tr>
      <w:tr w:rsidR="00EC4D5C">
        <w:tc>
          <w:tcPr>
            <w:tcW w:w="709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77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评判点</w:t>
            </w:r>
          </w:p>
        </w:tc>
        <w:tc>
          <w:tcPr>
            <w:tcW w:w="2885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得分标准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口味与质感</w:t>
            </w:r>
          </w:p>
        </w:tc>
        <w:tc>
          <w:tcPr>
            <w:tcW w:w="851" w:type="dxa"/>
          </w:tcPr>
          <w:p w:rsidR="00EC4D5C" w:rsidRDefault="00A97D52">
            <w:pPr>
              <w:spacing w:before="31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调味得当，口味纯正，主味突出，质感符合应有要求，体现地方特色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调味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质感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地方特色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刀工与刀法</w:t>
            </w:r>
          </w:p>
        </w:tc>
        <w:tc>
          <w:tcPr>
            <w:tcW w:w="851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刀法细致，刀纹清晰，刀距适度均匀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刀工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刀纹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刀具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拼摆与形态</w:t>
            </w:r>
          </w:p>
        </w:tc>
        <w:tc>
          <w:tcPr>
            <w:tcW w:w="851" w:type="dxa"/>
          </w:tcPr>
          <w:p w:rsidR="00EC4D5C" w:rsidRDefault="00A97D52">
            <w:pPr>
              <w:spacing w:before="468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25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拼摆得当，盖面整齐，造型美观，色彩搭配和谐美观，有较高的技术技巧</w:t>
            </w:r>
          </w:p>
        </w:tc>
        <w:tc>
          <w:tcPr>
            <w:tcW w:w="2885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拼摆造型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色彩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技术技巧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创意与</w:t>
            </w:r>
          </w:p>
          <w:p w:rsidR="00EC4D5C" w:rsidRDefault="00A97D52">
            <w:pPr>
              <w:spacing w:before="70"/>
              <w:ind w:left="12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实用</w:t>
            </w:r>
          </w:p>
        </w:tc>
        <w:tc>
          <w:tcPr>
            <w:tcW w:w="851" w:type="dxa"/>
          </w:tcPr>
          <w:p w:rsidR="00EC4D5C" w:rsidRDefault="00A97D52">
            <w:pPr>
              <w:spacing w:before="31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原料使用符合要求，注重营养，搭配合理，创意突出，适合推广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创意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营养搭配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推广价值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</w:tbl>
    <w:p w:rsidR="00EC4D5C" w:rsidRDefault="00A97D52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三、</w:t>
      </w:r>
      <w:r>
        <w:rPr>
          <w:rFonts w:ascii="仿宋_GB2312" w:eastAsia="仿宋_GB2312" w:hAnsi="宋体"/>
          <w:b/>
          <w:sz w:val="24"/>
        </w:rPr>
        <w:t>宴席展评</w:t>
      </w:r>
    </w:p>
    <w:p w:rsidR="00EC4D5C" w:rsidRDefault="00A97D52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分宴席展示效果和陈述答辩两个方面评价。宴席展示效果评分标准见表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7</w:t>
      </w:r>
      <w:r>
        <w:rPr>
          <w:rFonts w:ascii="仿宋_GB2312" w:eastAsia="仿宋_GB2312" w:hAnsi="宋体"/>
          <w:sz w:val="24"/>
        </w:rPr>
        <w:t>，陈述答辩评分标准见表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8</w:t>
      </w:r>
      <w:r>
        <w:rPr>
          <w:rFonts w:ascii="仿宋_GB2312" w:eastAsia="仿宋_GB2312" w:hAnsi="宋体"/>
          <w:sz w:val="24"/>
        </w:rPr>
        <w:t>。</w:t>
      </w:r>
    </w:p>
    <w:p w:rsidR="00EC4D5C" w:rsidRDefault="00A97D52">
      <w:pPr>
        <w:spacing w:line="360" w:lineRule="auto"/>
        <w:ind w:firstLineChars="1150" w:firstLine="27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7</w:t>
      </w:r>
      <w:r>
        <w:rPr>
          <w:rFonts w:ascii="仿宋_GB2312" w:eastAsia="仿宋_GB2312" w:hAnsi="宋体"/>
          <w:sz w:val="24"/>
        </w:rPr>
        <w:t>：宴席展示效果评分标准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977"/>
        <w:gridCol w:w="2885"/>
      </w:tblGrid>
      <w:tr w:rsidR="00EC4D5C">
        <w:tc>
          <w:tcPr>
            <w:tcW w:w="709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评分项</w:t>
            </w:r>
          </w:p>
        </w:tc>
        <w:tc>
          <w:tcPr>
            <w:tcW w:w="851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分值</w:t>
            </w:r>
          </w:p>
        </w:tc>
        <w:tc>
          <w:tcPr>
            <w:tcW w:w="5862" w:type="dxa"/>
            <w:gridSpan w:val="2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评分标准</w:t>
            </w:r>
          </w:p>
        </w:tc>
      </w:tr>
      <w:tr w:rsidR="00EC4D5C">
        <w:tc>
          <w:tcPr>
            <w:tcW w:w="709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77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评判点</w:t>
            </w:r>
          </w:p>
        </w:tc>
        <w:tc>
          <w:tcPr>
            <w:tcW w:w="2885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得分标准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主题鲜明</w:t>
            </w:r>
          </w:p>
        </w:tc>
        <w:tc>
          <w:tcPr>
            <w:tcW w:w="851" w:type="dxa"/>
          </w:tcPr>
          <w:p w:rsidR="00EC4D5C" w:rsidRDefault="00A97D52">
            <w:pPr>
              <w:spacing w:before="31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充分体现宴席设计书主题，地方特色鲜明，具有一定的文化内涵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主题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文化内涵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口味与质感</w:t>
            </w:r>
          </w:p>
        </w:tc>
        <w:tc>
          <w:tcPr>
            <w:tcW w:w="851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30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烹法恰当，技法多样，要有一道体现西餐技艺的作品，口味丰富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烹调技法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西餐技艺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口味搭配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④</w:t>
            </w:r>
            <w:r>
              <w:rPr>
                <w:rFonts w:ascii="仿宋" w:eastAsia="仿宋" w:hAnsi="仿宋"/>
                <w:kern w:val="0"/>
                <w:szCs w:val="21"/>
              </w:rPr>
              <w:t>原料搭配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营养合理</w:t>
            </w:r>
          </w:p>
        </w:tc>
        <w:tc>
          <w:tcPr>
            <w:tcW w:w="851" w:type="dxa"/>
          </w:tcPr>
          <w:p w:rsidR="00EC4D5C" w:rsidRDefault="00A97D52">
            <w:pPr>
              <w:spacing w:before="468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10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荤素兼顾，搭配合理，烹制方法运用科学，菜品营养均衡，数量和份量符合规定要求</w:t>
            </w:r>
          </w:p>
        </w:tc>
        <w:tc>
          <w:tcPr>
            <w:tcW w:w="2885" w:type="dxa"/>
          </w:tcPr>
          <w:p w:rsidR="00EC4D5C" w:rsidRDefault="00A97D52">
            <w:pPr>
              <w:spacing w:before="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营养均衡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数量和份量符合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规定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整体和出品效果</w:t>
            </w:r>
          </w:p>
        </w:tc>
        <w:tc>
          <w:tcPr>
            <w:tcW w:w="851" w:type="dxa"/>
          </w:tcPr>
          <w:p w:rsidR="00EC4D5C" w:rsidRDefault="00A97D52">
            <w:pPr>
              <w:spacing w:before="31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30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色彩搭配合理，造型美观，器皿使用得当，摆放美观大方，整体展台协调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，效果良好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色彩搭配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造型搭配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器皿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④</w:t>
            </w:r>
            <w:r>
              <w:rPr>
                <w:rFonts w:ascii="仿宋" w:eastAsia="仿宋" w:hAnsi="仿宋"/>
                <w:kern w:val="0"/>
                <w:szCs w:val="21"/>
              </w:rPr>
              <w:t>整体协调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⑤</w:t>
            </w:r>
            <w:r>
              <w:rPr>
                <w:rFonts w:ascii="仿宋" w:eastAsia="仿宋" w:hAnsi="仿宋"/>
                <w:kern w:val="0"/>
                <w:szCs w:val="21"/>
              </w:rPr>
              <w:t>菜单与菜牌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</w:tbl>
    <w:p w:rsidR="00EC4D5C" w:rsidRDefault="00A97D52">
      <w:pPr>
        <w:spacing w:line="360" w:lineRule="auto"/>
        <w:ind w:firstLineChars="400" w:firstLine="96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表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8</w:t>
      </w:r>
      <w:r>
        <w:rPr>
          <w:rFonts w:ascii="仿宋_GB2312" w:eastAsia="仿宋_GB2312" w:hAnsi="宋体"/>
          <w:sz w:val="24"/>
        </w:rPr>
        <w:t>：陈述答辩评分标准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977"/>
        <w:gridCol w:w="2885"/>
      </w:tblGrid>
      <w:tr w:rsidR="00EC4D5C">
        <w:tc>
          <w:tcPr>
            <w:tcW w:w="709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评分项</w:t>
            </w:r>
          </w:p>
        </w:tc>
        <w:tc>
          <w:tcPr>
            <w:tcW w:w="851" w:type="dxa"/>
            <w:vMerge w:val="restart"/>
          </w:tcPr>
          <w:p w:rsidR="00EC4D5C" w:rsidRDefault="00A97D52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分值</w:t>
            </w:r>
          </w:p>
        </w:tc>
        <w:tc>
          <w:tcPr>
            <w:tcW w:w="5862" w:type="dxa"/>
            <w:gridSpan w:val="2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评分标准</w:t>
            </w:r>
          </w:p>
        </w:tc>
      </w:tr>
      <w:tr w:rsidR="00EC4D5C">
        <w:tc>
          <w:tcPr>
            <w:tcW w:w="709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EC4D5C" w:rsidRDefault="00EC4D5C">
            <w:pPr>
              <w:spacing w:line="36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77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评判点</w:t>
            </w:r>
          </w:p>
        </w:tc>
        <w:tc>
          <w:tcPr>
            <w:tcW w:w="2885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得分标准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</w:tcPr>
          <w:p w:rsidR="00EC4D5C" w:rsidRDefault="00A97D52">
            <w:pPr>
              <w:spacing w:before="70"/>
              <w:ind w:left="12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陈述</w:t>
            </w:r>
          </w:p>
        </w:tc>
        <w:tc>
          <w:tcPr>
            <w:tcW w:w="851" w:type="dxa"/>
          </w:tcPr>
          <w:p w:rsidR="00EC4D5C" w:rsidRDefault="00A97D52">
            <w:pPr>
              <w:spacing w:before="31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陈述内容全面准确，表述清晰流畅，紧扣宴席主题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准确流畅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扣题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lastRenderedPageBreak/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思路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992" w:type="dxa"/>
          </w:tcPr>
          <w:p w:rsidR="00EC4D5C" w:rsidRDefault="00A97D52">
            <w:pPr>
              <w:spacing w:before="72"/>
              <w:ind w:left="12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答辩</w:t>
            </w:r>
          </w:p>
        </w:tc>
        <w:tc>
          <w:tcPr>
            <w:tcW w:w="851" w:type="dxa"/>
          </w:tcPr>
          <w:p w:rsidR="00EC4D5C" w:rsidRDefault="00A97D52">
            <w:pPr>
              <w:spacing w:before="31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spacing w:before="156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答辩紧扣问题，回答突出全面正确，应变能力强，表述清晰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正确性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20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2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表述水平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spacing w:before="7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③</w:t>
            </w:r>
            <w:r>
              <w:rPr>
                <w:rFonts w:ascii="仿宋" w:eastAsia="仿宋" w:hAnsi="仿宋"/>
                <w:kern w:val="0"/>
                <w:szCs w:val="21"/>
              </w:rPr>
              <w:t>应变能力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10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  <w:tr w:rsidR="00EC4D5C">
        <w:tc>
          <w:tcPr>
            <w:tcW w:w="709" w:type="dxa"/>
          </w:tcPr>
          <w:p w:rsidR="00EC4D5C" w:rsidRDefault="00A97D52">
            <w:pPr>
              <w:spacing w:line="360" w:lineRule="auto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仪容仪表</w:t>
            </w:r>
          </w:p>
        </w:tc>
        <w:tc>
          <w:tcPr>
            <w:tcW w:w="851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分</w:t>
            </w:r>
          </w:p>
        </w:tc>
        <w:tc>
          <w:tcPr>
            <w:tcW w:w="2977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着装整洁得体，不佩戴饰物，仪容自然大方</w:t>
            </w:r>
          </w:p>
        </w:tc>
        <w:tc>
          <w:tcPr>
            <w:tcW w:w="2885" w:type="dxa"/>
          </w:tcPr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①</w:t>
            </w:r>
            <w:r>
              <w:rPr>
                <w:rFonts w:ascii="仿宋" w:eastAsia="仿宋" w:hAnsi="仿宋"/>
                <w:kern w:val="0"/>
                <w:szCs w:val="21"/>
              </w:rPr>
              <w:t>仪表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EC4D5C" w:rsidRDefault="00A97D52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②</w:t>
            </w:r>
            <w:r>
              <w:rPr>
                <w:rFonts w:ascii="仿宋" w:eastAsia="仿宋" w:hAnsi="仿宋"/>
                <w:kern w:val="0"/>
                <w:szCs w:val="21"/>
              </w:rPr>
              <w:t>仪容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5 </w:t>
            </w:r>
            <w:r>
              <w:rPr>
                <w:rFonts w:ascii="仿宋" w:eastAsia="仿宋" w:hAnsi="仿宋"/>
                <w:kern w:val="0"/>
                <w:szCs w:val="21"/>
              </w:rPr>
              <w:t>分</w:t>
            </w:r>
          </w:p>
        </w:tc>
      </w:tr>
    </w:tbl>
    <w:p w:rsidR="00EC4D5C" w:rsidRDefault="00EC4D5C">
      <w:pPr>
        <w:snapToGrid w:val="0"/>
        <w:spacing w:line="580" w:lineRule="exact"/>
        <w:rPr>
          <w:rFonts w:ascii="宋体" w:hAnsi="宋体" w:cs="宋体"/>
          <w:b/>
          <w:bCs/>
          <w:sz w:val="36"/>
          <w:szCs w:val="36"/>
        </w:rPr>
      </w:pPr>
    </w:p>
    <w:sectPr w:rsidR="00EC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52" w:rsidRDefault="00A97D52" w:rsidP="00924028">
      <w:r>
        <w:separator/>
      </w:r>
    </w:p>
  </w:endnote>
  <w:endnote w:type="continuationSeparator" w:id="0">
    <w:p w:rsidR="00A97D52" w:rsidRDefault="00A97D52" w:rsidP="0092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WCKBH+FangSong_GB2312">
    <w:altName w:val="Segoe Print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52" w:rsidRDefault="00A97D52" w:rsidP="00924028">
      <w:r>
        <w:separator/>
      </w:r>
    </w:p>
  </w:footnote>
  <w:footnote w:type="continuationSeparator" w:id="0">
    <w:p w:rsidR="00A97D52" w:rsidRDefault="00A97D52" w:rsidP="0092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DBF"/>
    <w:rsid w:val="001148B5"/>
    <w:rsid w:val="002D1509"/>
    <w:rsid w:val="002D36D8"/>
    <w:rsid w:val="00375BE5"/>
    <w:rsid w:val="003D2F85"/>
    <w:rsid w:val="005B33F6"/>
    <w:rsid w:val="00603275"/>
    <w:rsid w:val="00612F3C"/>
    <w:rsid w:val="00662A7A"/>
    <w:rsid w:val="007C3A73"/>
    <w:rsid w:val="008D1E35"/>
    <w:rsid w:val="00924028"/>
    <w:rsid w:val="00931DBF"/>
    <w:rsid w:val="00970FD6"/>
    <w:rsid w:val="009C19D8"/>
    <w:rsid w:val="009C2A4F"/>
    <w:rsid w:val="00A04C17"/>
    <w:rsid w:val="00A97D52"/>
    <w:rsid w:val="00AB03FF"/>
    <w:rsid w:val="00B65451"/>
    <w:rsid w:val="00D23E63"/>
    <w:rsid w:val="00E64EFD"/>
    <w:rsid w:val="00EC4D5C"/>
    <w:rsid w:val="00EE2CC4"/>
    <w:rsid w:val="00EF2EC8"/>
    <w:rsid w:val="00F20039"/>
    <w:rsid w:val="00F31473"/>
    <w:rsid w:val="00F8668F"/>
    <w:rsid w:val="00F92DF1"/>
    <w:rsid w:val="00FB4882"/>
    <w:rsid w:val="00FD10A5"/>
    <w:rsid w:val="06604382"/>
    <w:rsid w:val="072B0FB7"/>
    <w:rsid w:val="0ACB58F2"/>
    <w:rsid w:val="21267CCF"/>
    <w:rsid w:val="41742F7F"/>
    <w:rsid w:val="680E2F36"/>
    <w:rsid w:val="6D683BD7"/>
    <w:rsid w:val="72E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32</cp:revision>
  <dcterms:created xsi:type="dcterms:W3CDTF">2019-03-12T04:16:00Z</dcterms:created>
  <dcterms:modified xsi:type="dcterms:W3CDTF">2022-04-15T11:32:00Z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468BB9C1B8DF44D8BD7797BAEB8634C5</vt:lpwstr>
  </property>
</Properties>
</file>